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附件2：</w:t>
      </w:r>
      <w:bookmarkStart w:id="11" w:name="_GoBack"/>
      <w:bookmarkEnd w:id="11"/>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
        </w:rPr>
        <w:t>中共林芝市委办公室</w:t>
      </w:r>
      <w:r>
        <w:rPr>
          <w:rFonts w:hint="eastAsia" w:ascii="方正小标宋简体" w:hAnsi="方正小标宋简体" w:eastAsia="方正小标宋简体" w:cs="方正小标宋简体"/>
          <w:sz w:val="44"/>
          <w:szCs w:val="44"/>
        </w:rPr>
        <w:t>整体支出绩效自评报告</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lang w:eastAsia="zh-CN"/>
        </w:rPr>
      </w:pP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2025年度</w:t>
      </w:r>
      <w:r>
        <w:rPr>
          <w:rFonts w:hint="eastAsia" w:ascii="仿宋_GB2312" w:hAnsi="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sz w:val="32"/>
          <w:szCs w:val="32"/>
        </w:rPr>
      </w:pPr>
      <w:bookmarkStart w:id="0" w:name="_Toc28838"/>
      <w:bookmarkStart w:id="1" w:name="_Toc8021_WPSOffice_Level2"/>
    </w:p>
    <w:p>
      <w:pPr>
        <w:keepNext w:val="0"/>
        <w:keepLines w:val="0"/>
        <w:pageBreakBefore w:val="0"/>
        <w:widowControl w:val="0"/>
        <w:kinsoku/>
        <w:wordWrap/>
        <w:overflowPunct/>
        <w:topLinePunct w:val="0"/>
        <w:autoSpaceDE/>
        <w:autoSpaceDN/>
        <w:bidi w:val="0"/>
        <w:adjustRightInd/>
        <w:spacing w:line="576" w:lineRule="exact"/>
        <w:ind w:firstLine="616" w:firstLineChars="200"/>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rPr>
        <w:t>一、部门</w:t>
      </w:r>
      <w:bookmarkEnd w:id="0"/>
      <w:r>
        <w:rPr>
          <w:rFonts w:hint="eastAsia" w:ascii="黑体" w:hAnsi="黑体" w:eastAsia="黑体" w:cs="黑体"/>
          <w:sz w:val="32"/>
          <w:szCs w:val="32"/>
          <w:lang w:eastAsia="zh-CN"/>
        </w:rPr>
        <w:t>概况</w:t>
      </w:r>
    </w:p>
    <w:bookmarkEnd w:id="1"/>
    <w:p>
      <w:pPr>
        <w:keepNext w:val="0"/>
        <w:keepLines w:val="0"/>
        <w:pageBreakBefore w:val="0"/>
        <w:widowControl w:val="0"/>
        <w:kinsoku/>
        <w:wordWrap/>
        <w:overflowPunct/>
        <w:topLinePunct w:val="0"/>
        <w:autoSpaceDE/>
        <w:autoSpaceDN/>
        <w:bidi w:val="0"/>
        <w:adjustRightInd/>
        <w:snapToGrid/>
        <w:spacing w:line="576" w:lineRule="exact"/>
        <w:ind w:firstLine="616" w:firstLineChars="200"/>
        <w:textAlignment w:val="auto"/>
        <w:outlineLvl w:val="9"/>
        <w:rPr>
          <w:rFonts w:hint="eastAsia" w:ascii="楷体_GB2312" w:hAnsi="楷体_GB2312" w:eastAsia="楷体_GB2312" w:cs="楷体_GB2312"/>
          <w:b w:val="0"/>
          <w:bCs w:val="0"/>
          <w:sz w:val="32"/>
          <w:szCs w:val="32"/>
          <w:lang w:eastAsia="zh-CN"/>
        </w:rPr>
      </w:pPr>
      <w:bookmarkStart w:id="2" w:name="_Toc30104"/>
      <w:bookmarkStart w:id="3" w:name="_Toc23683"/>
      <w:bookmarkStart w:id="4" w:name="_Toc5988_WPSOffice_Level3"/>
      <w:r>
        <w:rPr>
          <w:rFonts w:hint="eastAsia" w:ascii="楷体_GB2312" w:hAnsi="楷体_GB2312" w:eastAsia="楷体_GB2312" w:cs="楷体_GB2312"/>
          <w:b w:val="0"/>
          <w:bCs w:val="0"/>
          <w:sz w:val="32"/>
          <w:szCs w:val="32"/>
        </w:rPr>
        <w:t>（一）</w:t>
      </w:r>
      <w:bookmarkEnd w:id="2"/>
      <w:bookmarkEnd w:id="3"/>
      <w:bookmarkEnd w:id="4"/>
      <w:bookmarkStart w:id="5" w:name="_Toc18779"/>
      <w:r>
        <w:rPr>
          <w:rFonts w:hint="eastAsia" w:ascii="楷体_GB2312" w:hAnsi="楷体_GB2312" w:eastAsia="楷体_GB2312" w:cs="楷体_GB2312"/>
          <w:b w:val="0"/>
          <w:bCs w:val="0"/>
          <w:sz w:val="32"/>
          <w:szCs w:val="32"/>
          <w:lang w:eastAsia="zh-CN"/>
        </w:rPr>
        <w:t>基本情况</w:t>
      </w:r>
    </w:p>
    <w:bookmarkEnd w:id="5"/>
    <w:p>
      <w:pPr>
        <w:keepNext w:val="0"/>
        <w:keepLines w:val="0"/>
        <w:pageBreakBefore w:val="0"/>
        <w:widowControl w:val="0"/>
        <w:kinsoku/>
        <w:wordWrap/>
        <w:overflowPunct/>
        <w:topLinePunct w:val="0"/>
        <w:autoSpaceDE/>
        <w:autoSpaceDN/>
        <w:bidi w:val="0"/>
        <w:adjustRightInd/>
        <w:snapToGrid/>
        <w:spacing w:line="576" w:lineRule="exact"/>
        <w:ind w:firstLine="616" w:firstLineChars="200"/>
        <w:textAlignment w:val="auto"/>
        <w:outlineLvl w:val="9"/>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市委办承担着综合协调、参谋助手、督促检查、服务保障等重要职能，是市委运转的枢纽。</w:t>
      </w:r>
      <w:r>
        <w:rPr>
          <w:rFonts w:hint="eastAsia" w:ascii="仿宋_GB2312" w:hAnsi="仿宋_GB2312" w:eastAsia="仿宋_GB2312" w:cs="仿宋_GB2312"/>
          <w:bCs/>
          <w:sz w:val="32"/>
          <w:szCs w:val="32"/>
          <w:lang w:eastAsia="zh-CN"/>
        </w:rPr>
        <w:t>管理</w:t>
      </w:r>
      <w:r>
        <w:rPr>
          <w:rFonts w:hint="eastAsia" w:ascii="仿宋_GB2312" w:hAnsi="仿宋_GB2312" w:eastAsia="仿宋_GB2312" w:cs="仿宋_GB2312"/>
          <w:bCs/>
          <w:sz w:val="32"/>
          <w:szCs w:val="32"/>
        </w:rPr>
        <w:t>市委机要保密局、林芝市档案馆</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内设专项办（主责办、功勋办）、秘书科、综合科（机关后勤服务中心）、市委党史研究室（市地方志办公室）、信息科、市委督查室、政工人事科、文电法规科、档案指导科</w:t>
      </w:r>
      <w:r>
        <w:rPr>
          <w:rFonts w:hint="eastAsia" w:ascii="仿宋_GB2312" w:hAnsi="仿宋_GB2312" w:eastAsia="仿宋_GB2312" w:cs="仿宋_GB2312"/>
          <w:bCs/>
          <w:sz w:val="32"/>
          <w:szCs w:val="32"/>
          <w:lang w:val="en-US" w:eastAsia="zh-CN"/>
        </w:rPr>
        <w:t>9</w:t>
      </w:r>
      <w:r>
        <w:rPr>
          <w:rFonts w:hint="eastAsia" w:ascii="仿宋_GB2312" w:hAnsi="仿宋_GB2312" w:eastAsia="仿宋_GB2312" w:cs="仿宋_GB2312"/>
          <w:bCs/>
          <w:sz w:val="32"/>
          <w:szCs w:val="32"/>
        </w:rPr>
        <w:t>个</w:t>
      </w:r>
      <w:r>
        <w:rPr>
          <w:rFonts w:hint="eastAsia" w:ascii="仿宋_GB2312" w:hAnsi="仿宋_GB2312" w:eastAsia="仿宋_GB2312" w:cs="仿宋_GB2312"/>
          <w:bCs/>
          <w:sz w:val="32"/>
          <w:szCs w:val="32"/>
          <w:lang w:eastAsia="zh-CN"/>
        </w:rPr>
        <w:t>科室</w:t>
      </w:r>
      <w:r>
        <w:rPr>
          <w:rFonts w:hint="eastAsia" w:ascii="仿宋_GB2312" w:hAnsi="仿宋_GB2312" w:eastAsia="仿宋_GB2312" w:cs="仿宋_GB2312"/>
          <w:bCs/>
          <w:sz w:val="32"/>
          <w:szCs w:val="32"/>
        </w:rPr>
        <w:t>，人员编制涵盖行政编制与</w:t>
      </w:r>
      <w:r>
        <w:rPr>
          <w:rFonts w:hint="eastAsia" w:ascii="仿宋_GB2312" w:hAnsi="仿宋_GB2312" w:eastAsia="仿宋_GB2312" w:cs="仿宋_GB2312"/>
          <w:bCs/>
          <w:sz w:val="32"/>
          <w:szCs w:val="32"/>
          <w:lang w:eastAsia="zh-CN"/>
        </w:rPr>
        <w:t>事业</w:t>
      </w:r>
      <w:r>
        <w:rPr>
          <w:rFonts w:hint="eastAsia" w:ascii="仿宋_GB2312" w:hAnsi="仿宋_GB2312" w:eastAsia="仿宋_GB2312" w:cs="仿宋_GB2312"/>
          <w:bCs/>
          <w:sz w:val="32"/>
          <w:szCs w:val="32"/>
        </w:rPr>
        <w:t>编制，</w:t>
      </w:r>
      <w:r>
        <w:rPr>
          <w:rFonts w:hint="eastAsia" w:ascii="仿宋_GB2312" w:hAnsi="仿宋_GB2312" w:eastAsia="仿宋_GB2312" w:cs="仿宋_GB2312"/>
          <w:bCs/>
          <w:sz w:val="32"/>
          <w:szCs w:val="32"/>
          <w:lang w:eastAsia="zh-CN"/>
        </w:rPr>
        <w:t>共计</w:t>
      </w:r>
      <w:r>
        <w:rPr>
          <w:rFonts w:hint="eastAsia" w:ascii="仿宋_GB2312" w:hAnsi="仿宋_GB2312" w:eastAsia="仿宋_GB2312" w:cs="仿宋_GB2312"/>
          <w:bCs/>
          <w:sz w:val="32"/>
          <w:szCs w:val="32"/>
          <w:lang w:val="en-US" w:eastAsia="zh-CN"/>
        </w:rPr>
        <w:t>76人</w:t>
      </w:r>
      <w:r>
        <w:rPr>
          <w:rFonts w:hint="eastAsia" w:ascii="仿宋_GB2312" w:hAnsi="仿宋_GB2312" w:eastAsia="仿宋_GB2312" w:cs="仿宋_GB2312"/>
          <w:bCs/>
          <w:sz w:val="32"/>
          <w:szCs w:val="32"/>
        </w:rPr>
        <w:t>。</w:t>
      </w:r>
      <w:r>
        <w:rPr>
          <w:rFonts w:hint="eastAsia" w:ascii="仿宋_GB2312" w:hAnsi="仿宋_GB2312" w:cs="仿宋_GB2312"/>
          <w:bCs/>
          <w:sz w:val="32"/>
          <w:szCs w:val="32"/>
          <w:lang w:eastAsia="zh-CN"/>
        </w:rPr>
        <w:t>截至</w:t>
      </w:r>
      <w:r>
        <w:rPr>
          <w:rFonts w:hint="eastAsia" w:ascii="仿宋_GB2312" w:hAnsi="仿宋_GB2312" w:cs="仿宋_GB2312"/>
          <w:bCs/>
          <w:sz w:val="32"/>
          <w:szCs w:val="32"/>
          <w:lang w:val="en-US" w:eastAsia="zh-CN"/>
        </w:rPr>
        <w:t>2025年底，我单位资产总额2,577.98万元，其中：流动资产61.74万元，非流动资产2,516.24万元。</w:t>
      </w:r>
    </w:p>
    <w:p>
      <w:pPr>
        <w:keepNext w:val="0"/>
        <w:keepLines w:val="0"/>
        <w:pageBreakBefore w:val="0"/>
        <w:widowControl w:val="0"/>
        <w:kinsoku/>
        <w:wordWrap/>
        <w:overflowPunct/>
        <w:topLinePunct w:val="0"/>
        <w:autoSpaceDE/>
        <w:autoSpaceDN/>
        <w:bidi w:val="0"/>
        <w:adjustRightInd/>
        <w:snapToGrid/>
        <w:spacing w:line="576" w:lineRule="exact"/>
        <w:ind w:firstLine="616" w:firstLineChars="200"/>
        <w:textAlignment w:val="auto"/>
        <w:outlineLvl w:val="9"/>
        <w:rPr>
          <w:rFonts w:hint="eastAsia" w:ascii="楷体_GB2312" w:hAnsi="楷体_GB2312" w:eastAsia="楷体_GB2312" w:cs="楷体_GB2312"/>
          <w:b w:val="0"/>
          <w:bCs w:val="0"/>
          <w:sz w:val="32"/>
          <w:szCs w:val="32"/>
        </w:rPr>
      </w:pPr>
      <w:bookmarkStart w:id="6" w:name="_Toc14936_WPSOffice_Level2"/>
      <w:bookmarkStart w:id="7" w:name="_Toc25996"/>
      <w:r>
        <w:rPr>
          <w:rFonts w:hint="eastAsia" w:ascii="楷体_GB2312" w:hAnsi="楷体_GB2312" w:eastAsia="楷体_GB2312" w:cs="楷体_GB2312"/>
          <w:b w:val="0"/>
          <w:bCs w:val="0"/>
          <w:sz w:val="32"/>
          <w:szCs w:val="32"/>
        </w:rPr>
        <w:t>（二）年度</w:t>
      </w:r>
      <w:r>
        <w:rPr>
          <w:rFonts w:hint="eastAsia" w:ascii="楷体_GB2312" w:hAnsi="楷体_GB2312" w:eastAsia="楷体_GB2312" w:cs="楷体_GB2312"/>
          <w:b w:val="0"/>
          <w:bCs w:val="0"/>
          <w:sz w:val="32"/>
          <w:szCs w:val="32"/>
          <w:lang w:eastAsia="zh-CN"/>
        </w:rPr>
        <w:t>履职</w:t>
      </w:r>
      <w:r>
        <w:rPr>
          <w:rFonts w:hint="eastAsia" w:ascii="楷体_GB2312" w:hAnsi="楷体_GB2312" w:eastAsia="楷体_GB2312" w:cs="楷体_GB2312"/>
          <w:b w:val="0"/>
          <w:bCs w:val="0"/>
          <w:sz w:val="32"/>
          <w:szCs w:val="32"/>
        </w:rPr>
        <w:t>总体</w:t>
      </w:r>
      <w:r>
        <w:rPr>
          <w:rFonts w:hint="eastAsia" w:ascii="楷体_GB2312" w:hAnsi="楷体_GB2312" w:eastAsia="楷体_GB2312" w:cs="楷体_GB2312"/>
          <w:b w:val="0"/>
          <w:bCs w:val="0"/>
          <w:sz w:val="32"/>
          <w:szCs w:val="32"/>
          <w:lang w:eastAsia="zh-CN"/>
        </w:rPr>
        <w:t>目标</w:t>
      </w:r>
      <w:r>
        <w:rPr>
          <w:rFonts w:hint="eastAsia" w:ascii="楷体_GB2312" w:hAnsi="楷体_GB2312" w:eastAsia="楷体_GB2312" w:cs="楷体_GB2312"/>
          <w:b w:val="0"/>
          <w:bCs w:val="0"/>
          <w:sz w:val="32"/>
          <w:szCs w:val="32"/>
        </w:rPr>
        <w:t>和重点工作任务</w:t>
      </w:r>
      <w:bookmarkEnd w:id="6"/>
      <w:bookmarkEnd w:id="7"/>
    </w:p>
    <w:p>
      <w:pPr>
        <w:keepNext w:val="0"/>
        <w:keepLines w:val="0"/>
        <w:pageBreakBefore w:val="0"/>
        <w:widowControl w:val="0"/>
        <w:kinsoku/>
        <w:wordWrap/>
        <w:overflowPunct/>
        <w:topLinePunct w:val="0"/>
        <w:autoSpaceDE/>
        <w:autoSpaceDN/>
        <w:bidi w:val="0"/>
        <w:adjustRightInd/>
        <w:snapToGrid/>
        <w:spacing w:line="576" w:lineRule="exact"/>
        <w:ind w:firstLine="616" w:firstLineChars="200"/>
        <w:textAlignment w:val="auto"/>
        <w:outlineLvl w:val="9"/>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202</w:t>
      </w:r>
      <w:r>
        <w:rPr>
          <w:rFonts w:hint="eastAsia" w:ascii="仿宋_GB2312" w:hAnsi="仿宋_GB2312" w:cs="仿宋_GB2312"/>
          <w:bCs/>
          <w:sz w:val="32"/>
          <w:szCs w:val="32"/>
          <w:lang w:val="en-US" w:eastAsia="zh-CN"/>
        </w:rPr>
        <w:t>5</w:t>
      </w:r>
      <w:r>
        <w:rPr>
          <w:rFonts w:hint="eastAsia" w:ascii="仿宋_GB2312" w:hAnsi="仿宋_GB2312" w:eastAsia="仿宋_GB2312" w:cs="仿宋_GB2312"/>
          <w:bCs/>
          <w:sz w:val="32"/>
          <w:szCs w:val="32"/>
        </w:rPr>
        <w:t>年，市委办总体工作围绕服务市委决策部署、保障市委高效运转展开。</w:t>
      </w:r>
      <w:r>
        <w:rPr>
          <w:rFonts w:hint="eastAsia" w:ascii="仿宋_GB2312" w:hAnsi="仿宋_GB2312" w:cs="仿宋_GB2312"/>
          <w:bCs/>
          <w:sz w:val="32"/>
          <w:szCs w:val="32"/>
          <w:lang w:eastAsia="zh-CN"/>
        </w:rPr>
        <w:t>始终</w:t>
      </w:r>
      <w:r>
        <w:rPr>
          <w:rFonts w:hint="eastAsia" w:ascii="仿宋_GB2312" w:hAnsi="仿宋_GB2312" w:eastAsia="仿宋_GB2312" w:cs="仿宋_GB2312"/>
          <w:bCs/>
          <w:sz w:val="32"/>
          <w:szCs w:val="32"/>
        </w:rPr>
        <w:t>坚持以习近平新时代中国特色社会主义思想为指导，全面落实习近平总书记关于新时代办公厅工作的重要指示精神，紧紧围绕市委中心工作和全市发展大局，以“忠诚·先锋”“坚实走好第一方阵”为目标，以“服务发展、服务决策、服务落实”为核心，聚焦“四最一中枢”定位和“四个职能”，凝心聚力、担当实干，有力保障党中央决策部署和自治区党委、市委工作要求落实落细、落地见效。</w:t>
      </w:r>
    </w:p>
    <w:p>
      <w:pPr>
        <w:keepNext w:val="0"/>
        <w:keepLines w:val="0"/>
        <w:pageBreakBefore w:val="0"/>
        <w:widowControl w:val="0"/>
        <w:kinsoku/>
        <w:wordWrap/>
        <w:overflowPunct/>
        <w:topLinePunct w:val="0"/>
        <w:autoSpaceDE/>
        <w:autoSpaceDN/>
        <w:bidi w:val="0"/>
        <w:adjustRightInd/>
        <w:snapToGrid/>
        <w:spacing w:line="576" w:lineRule="exact"/>
        <w:ind w:firstLine="616" w:firstLineChars="200"/>
        <w:textAlignment w:val="auto"/>
        <w:outlineLvl w:val="9"/>
        <w:rPr>
          <w:rFonts w:hint="eastAsia" w:ascii="楷体_GB2312" w:hAnsi="楷体_GB2312" w:eastAsia="楷体_GB2312" w:cs="楷体_GB2312"/>
          <w:bCs/>
          <w:sz w:val="32"/>
          <w:szCs w:val="32"/>
        </w:rPr>
      </w:pPr>
      <w:r>
        <w:rPr>
          <w:rFonts w:hint="eastAsia" w:ascii="楷体_GB2312" w:hAnsi="楷体_GB2312" w:eastAsia="楷体_GB2312" w:cs="楷体_GB2312"/>
          <w:bCs/>
          <w:sz w:val="32"/>
          <w:szCs w:val="32"/>
        </w:rPr>
        <w:t>重点工作任务包括：</w:t>
      </w:r>
    </w:p>
    <w:p>
      <w:pPr>
        <w:keepNext w:val="0"/>
        <w:keepLines w:val="0"/>
        <w:pageBreakBefore w:val="0"/>
        <w:widowControl w:val="0"/>
        <w:kinsoku/>
        <w:wordWrap/>
        <w:overflowPunct/>
        <w:topLinePunct w:val="0"/>
        <w:autoSpaceDE/>
        <w:autoSpaceDN/>
        <w:bidi w:val="0"/>
        <w:adjustRightInd/>
        <w:snapToGrid/>
        <w:spacing w:line="576" w:lineRule="exact"/>
        <w:ind w:firstLine="616" w:firstLineChars="200"/>
        <w:textAlignment w:val="auto"/>
        <w:outlineLvl w:val="9"/>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1.围绕市委中心工作，高质量完成市委交办的领导讲话、政策研究等综合性材料的起草、修改工作，对带有全局性、战略性、方向性的重大问题开展调查研究，为市委决策提供客观依据和决策咨询。</w:t>
      </w:r>
    </w:p>
    <w:p>
      <w:pPr>
        <w:keepNext w:val="0"/>
        <w:keepLines w:val="0"/>
        <w:pageBreakBefore w:val="0"/>
        <w:widowControl w:val="0"/>
        <w:kinsoku/>
        <w:wordWrap/>
        <w:overflowPunct/>
        <w:topLinePunct w:val="0"/>
        <w:autoSpaceDE/>
        <w:autoSpaceDN/>
        <w:bidi w:val="0"/>
        <w:adjustRightInd/>
        <w:snapToGrid/>
        <w:spacing w:line="576" w:lineRule="exact"/>
        <w:ind w:firstLine="616" w:firstLineChars="200"/>
        <w:textAlignment w:val="auto"/>
        <w:outlineLvl w:val="9"/>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2.抓好习近平总书记重要指示批示精神贯彻落实情况跟踪督办；对区党委、市委重要会议文件精神进行任务分解，督促各单位抓好落实；抓好2025年市委、市政府43项重大事项推动落实情况跟踪督办；抓好区、市两级主要领导指示批示精神贯彻落实情况跟踪督办；围绕重点工作，每季度开展1次实地督查，形成高质量书面督查报告；认真贯彻落实区党委、市委关于改进作风狠抓落实工作部署要求，制定《林芝市2025年进一步改进作风狠抓落实工作任务细化方案》，统筹推进各项工作；认真贯彻落实党中央、区党委、市委关于为基层减负相关部署要求，合理制定市级层面年度文件会议计划指标和督查检查考核计划，指导各县（市、区）按照“只减不增”要求，参照市级层面制定县级层面年度计划；抓好《整治形式主义为基层减负若干规定》的宣传贯彻落实；实施季度调度、年底总结制度，每季度对市直各部门统计口径范围内文件会议和督查检查考核计划执行情况进行调度，对县（市、区）执行情况进行跟踪调度和指导检查；抓好党委系统人大代表政协委员建议提案办复，按时回复办理情况；抓好“人民网”给</w:t>
      </w:r>
      <w:r>
        <w:rPr>
          <w:rFonts w:hint="eastAsia" w:ascii="仿宋_GB2312" w:hAnsi="仿宋_GB2312" w:eastAsia="仿宋_GB2312" w:cs="仿宋_GB2312"/>
          <w:b w:val="0"/>
          <w:bCs/>
          <w:color w:val="auto"/>
          <w:kern w:val="2"/>
          <w:sz w:val="32"/>
          <w:szCs w:val="32"/>
          <w:u w:val="none"/>
          <w:vertAlign w:val="baseline"/>
          <w:lang w:val="en-US" w:eastAsia="zh-CN" w:bidi="ar-SA"/>
        </w:rPr>
        <w:t>自治区党委</w:t>
      </w:r>
      <w:r>
        <w:rPr>
          <w:rFonts w:hint="eastAsia" w:ascii="仿宋_GB2312" w:hAnsi="仿宋_GB2312" w:eastAsia="仿宋_GB2312" w:cs="仿宋_GB2312"/>
          <w:b w:val="0"/>
          <w:bCs/>
          <w:sz w:val="32"/>
          <w:szCs w:val="32"/>
          <w:lang w:val="en-US" w:eastAsia="zh-CN"/>
        </w:rPr>
        <w:t>书记留言的涉林留言和</w:t>
      </w:r>
      <w:r>
        <w:rPr>
          <w:rFonts w:hint="eastAsia" w:ascii="仿宋_GB2312" w:hAnsi="仿宋_GB2312" w:cs="仿宋_GB2312"/>
          <w:b w:val="0"/>
          <w:bCs/>
          <w:sz w:val="32"/>
          <w:szCs w:val="32"/>
          <w:lang w:val="en-US" w:eastAsia="zh-CN"/>
        </w:rPr>
        <w:t>市委</w:t>
      </w:r>
      <w:r>
        <w:rPr>
          <w:rFonts w:hint="eastAsia" w:ascii="仿宋_GB2312" w:hAnsi="仿宋_GB2312" w:eastAsia="仿宋_GB2312" w:cs="仿宋_GB2312"/>
          <w:b w:val="0"/>
          <w:bCs/>
          <w:sz w:val="32"/>
          <w:szCs w:val="32"/>
          <w:lang w:val="en-US" w:eastAsia="zh-CN"/>
        </w:rPr>
        <w:t>书记留言的办理工作</w:t>
      </w:r>
      <w:r>
        <w:rPr>
          <w:rFonts w:hint="eastAsia" w:ascii="仿宋_GB2312" w:hAnsi="仿宋_GB2312" w:cs="仿宋_GB2312"/>
          <w:b w:val="0"/>
          <w:bCs/>
          <w:sz w:val="32"/>
          <w:szCs w:val="32"/>
          <w:lang w:val="en-US" w:eastAsia="zh-CN"/>
        </w:rPr>
        <w:t>等</w:t>
      </w:r>
      <w:r>
        <w:rPr>
          <w:rFonts w:hint="eastAsia" w:ascii="仿宋_GB2312" w:hAnsi="仿宋_GB2312" w:eastAsia="仿宋_GB2312" w:cs="仿宋_GB2312"/>
          <w:b w:val="0"/>
          <w:bCs/>
          <w:sz w:val="32"/>
          <w:szCs w:val="32"/>
          <w:lang w:val="en-US" w:eastAsia="zh-CN"/>
        </w:rPr>
        <w:t>。</w:t>
      </w:r>
    </w:p>
    <w:p>
      <w:pPr>
        <w:pStyle w:val="11"/>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16" w:firstLineChars="200"/>
        <w:rPr>
          <w:rFonts w:hint="eastAsia" w:ascii="仿宋_GB2312" w:hAnsi="仿宋_GB2312" w:eastAsia="仿宋_GB2312" w:cs="仿宋_GB2312"/>
          <w:b w:val="0"/>
          <w:bCs/>
          <w:color w:val="auto"/>
          <w:kern w:val="2"/>
          <w:sz w:val="32"/>
          <w:szCs w:val="32"/>
          <w:u w:val="none"/>
          <w:vertAlign w:val="baseline"/>
          <w:lang w:val="en-US" w:eastAsia="zh-CN" w:bidi="ar-SA"/>
        </w:rPr>
      </w:pPr>
      <w:r>
        <w:rPr>
          <w:rFonts w:hint="eastAsia" w:ascii="仿宋_GB2312" w:hAnsi="仿宋_GB2312" w:eastAsia="仿宋_GB2312" w:cs="仿宋_GB2312"/>
          <w:b w:val="0"/>
          <w:bCs/>
          <w:color w:val="auto"/>
          <w:kern w:val="2"/>
          <w:sz w:val="32"/>
          <w:szCs w:val="32"/>
          <w:u w:val="none"/>
          <w:vertAlign w:val="baseline"/>
          <w:lang w:val="en-US" w:eastAsia="zh-CN" w:bidi="ar-SA"/>
        </w:rPr>
        <w:t>3.严格落实市委全面从严治党主体责任；狠抓功勋荣誉表彰工作；扎实做好“三区一高地”领域相关工作。</w:t>
      </w:r>
    </w:p>
    <w:p>
      <w:pPr>
        <w:pStyle w:val="11"/>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16"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4.及时向市委反映全市改革开放发展等各项工作情况，为市委科学决策、指导工作、推动落实提供信息服务</w:t>
      </w:r>
      <w:r>
        <w:rPr>
          <w:rFonts w:hint="eastAsia" w:ascii="仿宋_GB2312" w:hAnsi="仿宋_GB2312" w:cs="仿宋_GB2312"/>
          <w:sz w:val="32"/>
          <w:szCs w:val="32"/>
          <w:lang w:val="en-US" w:eastAsia="zh-CN"/>
        </w:rPr>
        <w:t>。</w:t>
      </w:r>
    </w:p>
    <w:p>
      <w:pPr>
        <w:pStyle w:val="11"/>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16"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根据市委中心工作任务和市委领导指示要求，认真做好市委各类重要会议会务工作，协调安排市委领导出席各类重要公务活动；扎实做好以市委名义，市委办名义，市委（市政府）名义，市委办（市政府办）名义等文件的印发工作；做好自治区党委、政府以及林芝市直有关单位、各县区委的协调联络工作；协调联络市人大、政府、政协办公室开展市级领导出席活动事宜。</w:t>
      </w:r>
    </w:p>
    <w:p>
      <w:pPr>
        <w:pStyle w:val="11"/>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16"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做好以市委或市委办公室名义发布的党内法规和规范性文件审核把关及报备工作；组织协调市委党内法规和规范性文件的清理、汇编工作；完成中央及办公厅、自治区党委及办公厅和市委办公室各类文件、材料的分发、办理工作。</w:t>
      </w:r>
    </w:p>
    <w:p>
      <w:pPr>
        <w:pStyle w:val="11"/>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16"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组织开展全市档案工作的的统筹规划、宏观管理，对全市档案工作进行监督检查和业务指导；做好档案法律法规的宣传教育，组织实施全市档案干部和专业人员的业务培训；负责国家重点档案保护与开发项目的审查、申报、验收。按照相关规定，开展好国家重点档案保护与开发项目（林芝市档案馆馆藏古藏文保护与开发项目）</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做好档案的接收、整理、保管和利用等工作，进一步提高档案数字化水平，维护档案完整，确保档案资料的安全保密。</w:t>
      </w:r>
    </w:p>
    <w:p>
      <w:pPr>
        <w:pStyle w:val="11"/>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16"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8.聚焦“存史、资政、育人”三项主业，扎实开展修志编鉴、党史研究、宣传教育等工作。</w:t>
      </w:r>
    </w:p>
    <w:p>
      <w:pPr>
        <w:keepNext w:val="0"/>
        <w:keepLines w:val="0"/>
        <w:pageBreakBefore w:val="0"/>
        <w:widowControl w:val="0"/>
        <w:kinsoku/>
        <w:wordWrap/>
        <w:overflowPunct/>
        <w:topLinePunct w:val="0"/>
        <w:autoSpaceDE/>
        <w:autoSpaceDN/>
        <w:bidi w:val="0"/>
        <w:adjustRightInd/>
        <w:spacing w:line="576" w:lineRule="exact"/>
        <w:ind w:firstLine="616"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w:t>
      </w:r>
      <w:r>
        <w:rPr>
          <w:rFonts w:hint="eastAsia" w:ascii="楷体_GB2312" w:hAnsi="楷体_GB2312" w:eastAsia="楷体_GB2312" w:cs="楷体_GB2312"/>
          <w:b w:val="0"/>
          <w:bCs w:val="0"/>
          <w:sz w:val="32"/>
          <w:szCs w:val="32"/>
          <w:lang w:eastAsia="zh-CN"/>
        </w:rPr>
        <w:t>三</w:t>
      </w:r>
      <w:r>
        <w:rPr>
          <w:rFonts w:hint="eastAsia" w:ascii="楷体_GB2312" w:hAnsi="楷体_GB2312" w:eastAsia="楷体_GB2312" w:cs="楷体_GB2312"/>
          <w:b w:val="0"/>
          <w:bCs w:val="0"/>
          <w:sz w:val="32"/>
          <w:szCs w:val="32"/>
        </w:rPr>
        <w:t>）部门整体支出绩效目标</w:t>
      </w:r>
    </w:p>
    <w:p>
      <w:pPr>
        <w:keepNext w:val="0"/>
        <w:keepLines w:val="0"/>
        <w:pageBreakBefore w:val="0"/>
        <w:widowControl w:val="0"/>
        <w:kinsoku/>
        <w:wordWrap/>
        <w:overflowPunct/>
        <w:topLinePunct w:val="0"/>
        <w:autoSpaceDE/>
        <w:autoSpaceDN/>
        <w:bidi w:val="0"/>
        <w:adjustRightInd/>
        <w:spacing w:line="576" w:lineRule="exact"/>
        <w:ind w:firstLine="616" w:firstLineChars="200"/>
        <w:textAlignment w:val="auto"/>
        <w:outlineLvl w:val="9"/>
        <w:rPr>
          <w:rFonts w:hint="eastAsia" w:ascii="仿宋_GB2312" w:hAnsi="仿宋_GB2312" w:eastAsia="仿宋_GB2312" w:cs="仿宋_GB2312"/>
          <w:color w:val="FF0000"/>
          <w:sz w:val="32"/>
          <w:szCs w:val="32"/>
        </w:rPr>
      </w:pPr>
      <w:r>
        <w:rPr>
          <w:rFonts w:hint="eastAsia" w:ascii="仿宋_GB2312" w:hAnsi="仿宋_GB2312" w:eastAsia="仿宋_GB2312" w:cs="仿宋_GB2312"/>
          <w:color w:val="auto"/>
          <w:sz w:val="32"/>
          <w:szCs w:val="32"/>
        </w:rPr>
        <w:t>以“服务市委中心工作、保障政令高效畅通”为核心，围绕“办文、办会、办事”三大主责，聚焦“四件大事”、聚力“四个创建”，切实发挥参谋助手、综合协调、督查督办、服务保障等职能作用，通过预算资金精准投入，实现“参谋辅助更精准、统筹协调更高效、服务保障更有力”的总体预期，为市委决策部署落实落地和全市高质量发展提供坚实支撑。</w:t>
      </w:r>
    </w:p>
    <w:p>
      <w:pPr>
        <w:keepNext w:val="0"/>
        <w:keepLines w:val="0"/>
        <w:pageBreakBefore w:val="0"/>
        <w:widowControl w:val="0"/>
        <w:kinsoku/>
        <w:wordWrap/>
        <w:overflowPunct/>
        <w:topLinePunct w:val="0"/>
        <w:autoSpaceDE/>
        <w:autoSpaceDN/>
        <w:bidi w:val="0"/>
        <w:adjustRightInd/>
        <w:spacing w:line="576" w:lineRule="exact"/>
        <w:ind w:firstLine="616" w:firstLineChars="200"/>
        <w:textAlignment w:val="auto"/>
        <w:outlineLvl w:val="9"/>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rPr>
        <w:t>（</w:t>
      </w:r>
      <w:r>
        <w:rPr>
          <w:rFonts w:hint="eastAsia" w:ascii="楷体_GB2312" w:hAnsi="楷体_GB2312" w:eastAsia="楷体_GB2312" w:cs="楷体_GB2312"/>
          <w:b w:val="0"/>
          <w:bCs w:val="0"/>
          <w:sz w:val="32"/>
          <w:szCs w:val="32"/>
          <w:lang w:eastAsia="zh-CN"/>
        </w:rPr>
        <w:t>四</w:t>
      </w:r>
      <w:r>
        <w:rPr>
          <w:rFonts w:hint="eastAsia" w:ascii="楷体_GB2312" w:hAnsi="楷体_GB2312" w:eastAsia="楷体_GB2312" w:cs="楷体_GB2312"/>
          <w:b w:val="0"/>
          <w:bCs w:val="0"/>
          <w:sz w:val="32"/>
          <w:szCs w:val="32"/>
        </w:rPr>
        <w:t>）</w:t>
      </w:r>
      <w:r>
        <w:rPr>
          <w:rFonts w:hint="eastAsia" w:ascii="楷体_GB2312" w:hAnsi="楷体_GB2312" w:eastAsia="楷体_GB2312" w:cs="楷体_GB2312"/>
          <w:b w:val="0"/>
          <w:bCs w:val="0"/>
          <w:sz w:val="32"/>
          <w:szCs w:val="32"/>
          <w:lang w:eastAsia="zh-CN"/>
        </w:rPr>
        <w:t>部门预算绩效管理开展情况</w:t>
      </w:r>
    </w:p>
    <w:p>
      <w:pPr>
        <w:keepNext w:val="0"/>
        <w:keepLines w:val="0"/>
        <w:pageBreakBefore w:val="0"/>
        <w:widowControl w:val="0"/>
        <w:kinsoku/>
        <w:wordWrap/>
        <w:overflowPunct/>
        <w:topLinePunct w:val="0"/>
        <w:autoSpaceDE/>
        <w:autoSpaceDN/>
        <w:bidi w:val="0"/>
        <w:adjustRightInd/>
        <w:spacing w:line="576" w:lineRule="exact"/>
        <w:ind w:firstLine="616" w:firstLineChars="200"/>
        <w:textAlignment w:val="auto"/>
        <w:outlineLvl w:val="9"/>
        <w:rPr>
          <w:rFonts w:hint="eastAsia"/>
          <w:color w:val="auto"/>
          <w:lang w:val="en-US" w:eastAsia="zh-CN"/>
        </w:rPr>
      </w:pPr>
      <w:r>
        <w:rPr>
          <w:rFonts w:hint="eastAsia" w:ascii="仿宋_GB2312" w:hAnsi="仿宋_GB2312" w:cs="仿宋_GB2312"/>
          <w:color w:val="auto"/>
          <w:sz w:val="32"/>
          <w:szCs w:val="32"/>
          <w:lang w:val="en-US" w:eastAsia="zh-CN"/>
        </w:rPr>
        <w:t>2025年度，市委办公室严格贯彻落实全面实施预算绩效管理各项部署要求，立足“三服务”主责主业，坚持把预算绩效管理贯穿经费统筹、项目实施、资金使用全过程，精准编制绩效目标，严把全流程关口，强化绩效运行监控，不断提升财政资金统筹使用质效，全力保障市委日常运转、办文办会、督查落实、机要保密、后勤服务等各项工作高效有序开展。</w:t>
      </w:r>
    </w:p>
    <w:p>
      <w:pPr>
        <w:keepNext w:val="0"/>
        <w:keepLines w:val="0"/>
        <w:pageBreakBefore w:val="0"/>
        <w:widowControl w:val="0"/>
        <w:kinsoku/>
        <w:wordWrap/>
        <w:overflowPunct/>
        <w:topLinePunct w:val="0"/>
        <w:autoSpaceDE/>
        <w:autoSpaceDN/>
        <w:bidi w:val="0"/>
        <w:adjustRightInd/>
        <w:snapToGrid/>
        <w:spacing w:line="576" w:lineRule="exact"/>
        <w:ind w:firstLine="616" w:firstLineChars="200"/>
        <w:textAlignment w:val="auto"/>
        <w:outlineLvl w:val="9"/>
        <w:rPr>
          <w:rFonts w:hint="eastAsia" w:ascii="楷体_GB2312" w:hAnsi="楷体_GB2312" w:eastAsia="楷体_GB2312" w:cs="楷体_GB2312"/>
          <w:b w:val="0"/>
          <w:bCs w:val="0"/>
          <w:sz w:val="32"/>
          <w:szCs w:val="32"/>
          <w:lang w:eastAsia="zh-CN"/>
        </w:rPr>
      </w:pPr>
      <w:bookmarkStart w:id="8" w:name="_Toc8086"/>
      <w:bookmarkStart w:id="9" w:name="_Toc28424_WPSOffice_Level2"/>
      <w:r>
        <w:rPr>
          <w:rFonts w:hint="eastAsia" w:ascii="楷体_GB2312" w:hAnsi="楷体_GB2312" w:eastAsia="楷体_GB2312" w:cs="楷体_GB2312"/>
          <w:b w:val="0"/>
          <w:bCs w:val="0"/>
          <w:sz w:val="32"/>
          <w:szCs w:val="32"/>
        </w:rPr>
        <w:t>（</w:t>
      </w:r>
      <w:r>
        <w:rPr>
          <w:rFonts w:hint="eastAsia" w:ascii="楷体_GB2312" w:hAnsi="楷体_GB2312" w:eastAsia="楷体_GB2312" w:cs="楷体_GB2312"/>
          <w:b w:val="0"/>
          <w:bCs w:val="0"/>
          <w:sz w:val="32"/>
          <w:szCs w:val="32"/>
          <w:lang w:eastAsia="zh-CN"/>
        </w:rPr>
        <w:t>五</w:t>
      </w:r>
      <w:r>
        <w:rPr>
          <w:rFonts w:hint="eastAsia" w:ascii="楷体_GB2312" w:hAnsi="楷体_GB2312" w:eastAsia="楷体_GB2312" w:cs="楷体_GB2312"/>
          <w:b w:val="0"/>
          <w:bCs w:val="0"/>
          <w:sz w:val="32"/>
          <w:szCs w:val="32"/>
        </w:rPr>
        <w:t>）</w:t>
      </w:r>
      <w:bookmarkEnd w:id="8"/>
      <w:bookmarkEnd w:id="9"/>
      <w:r>
        <w:rPr>
          <w:rFonts w:hint="eastAsia" w:ascii="楷体_GB2312" w:hAnsi="楷体_GB2312" w:eastAsia="楷体_GB2312" w:cs="楷体_GB2312"/>
          <w:b w:val="0"/>
          <w:bCs w:val="0"/>
          <w:sz w:val="32"/>
          <w:szCs w:val="32"/>
        </w:rPr>
        <w:t>部门</w:t>
      </w:r>
      <w:r>
        <w:rPr>
          <w:rFonts w:hint="eastAsia" w:ascii="楷体_GB2312" w:hAnsi="楷体_GB2312" w:eastAsia="楷体_GB2312" w:cs="楷体_GB2312"/>
          <w:b w:val="0"/>
          <w:bCs w:val="0"/>
          <w:sz w:val="32"/>
          <w:szCs w:val="32"/>
          <w:lang w:eastAsia="zh-CN"/>
        </w:rPr>
        <w:t>预算及执行情况</w:t>
      </w:r>
    </w:p>
    <w:p>
      <w:pPr>
        <w:keepNext w:val="0"/>
        <w:keepLines w:val="0"/>
        <w:pageBreakBefore w:val="0"/>
        <w:widowControl w:val="0"/>
        <w:kinsoku/>
        <w:wordWrap/>
        <w:overflowPunct/>
        <w:topLinePunct w:val="0"/>
        <w:autoSpaceDE/>
        <w:autoSpaceDN/>
        <w:bidi w:val="0"/>
        <w:adjustRightInd/>
        <w:snapToGrid/>
        <w:spacing w:line="576" w:lineRule="exact"/>
        <w:ind w:firstLine="616" w:firstLineChars="200"/>
        <w:textAlignment w:val="auto"/>
        <w:outlineLvl w:val="9"/>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202</w:t>
      </w:r>
      <w:r>
        <w:rPr>
          <w:rFonts w:hint="eastAsia" w:ascii="仿宋_GB2312" w:hAnsi="仿宋_GB2312" w:cs="仿宋_GB2312"/>
          <w:bCs/>
          <w:color w:val="auto"/>
          <w:sz w:val="32"/>
          <w:szCs w:val="32"/>
          <w:lang w:val="en-US" w:eastAsia="zh-CN"/>
        </w:rPr>
        <w:t>5</w:t>
      </w:r>
      <w:r>
        <w:rPr>
          <w:rFonts w:hint="eastAsia" w:ascii="仿宋_GB2312" w:hAnsi="仿宋_GB2312" w:eastAsia="仿宋_GB2312" w:cs="仿宋_GB2312"/>
          <w:bCs/>
          <w:color w:val="auto"/>
          <w:sz w:val="32"/>
          <w:szCs w:val="32"/>
        </w:rPr>
        <w:t>年</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市委</w:t>
      </w:r>
      <w:r>
        <w:rPr>
          <w:rFonts w:hint="eastAsia" w:ascii="仿宋_GB2312" w:hAnsi="仿宋_GB2312" w:cs="仿宋_GB2312"/>
          <w:bCs/>
          <w:color w:val="auto"/>
          <w:sz w:val="32"/>
          <w:szCs w:val="32"/>
          <w:lang w:eastAsia="zh-CN"/>
        </w:rPr>
        <w:t>办公室</w:t>
      </w:r>
      <w:r>
        <w:rPr>
          <w:rFonts w:hint="eastAsia" w:ascii="仿宋_GB2312" w:hAnsi="仿宋_GB2312" w:eastAsia="仿宋_GB2312" w:cs="仿宋_GB2312"/>
          <w:bCs/>
          <w:color w:val="auto"/>
          <w:sz w:val="32"/>
          <w:szCs w:val="32"/>
          <w:lang w:eastAsia="zh-CN"/>
        </w:rPr>
        <w:t>本年</w:t>
      </w:r>
      <w:r>
        <w:rPr>
          <w:rFonts w:hint="eastAsia" w:ascii="仿宋_GB2312" w:hAnsi="仿宋_GB2312" w:eastAsia="仿宋_GB2312" w:cs="仿宋_GB2312"/>
          <w:bCs/>
          <w:color w:val="auto"/>
          <w:sz w:val="32"/>
          <w:szCs w:val="32"/>
        </w:rPr>
        <w:t>预算</w:t>
      </w:r>
      <w:r>
        <w:rPr>
          <w:rFonts w:hint="eastAsia" w:ascii="仿宋_GB2312" w:hAnsi="仿宋_GB2312" w:eastAsia="仿宋_GB2312" w:cs="仿宋_GB2312"/>
          <w:bCs/>
          <w:color w:val="auto"/>
          <w:sz w:val="32"/>
          <w:szCs w:val="32"/>
          <w:lang w:eastAsia="zh-CN"/>
        </w:rPr>
        <w:t>收入4,418.70万元，比上年增加379.51万元，增长9.40%</w:t>
      </w:r>
      <w:r>
        <w:rPr>
          <w:rFonts w:hint="eastAsia" w:ascii="仿宋_GB2312" w:hAnsi="仿宋_GB2312" w:cs="仿宋_GB2312"/>
          <w:bCs/>
          <w:color w:val="auto"/>
          <w:sz w:val="32"/>
          <w:szCs w:val="32"/>
          <w:lang w:eastAsia="zh-CN"/>
        </w:rPr>
        <w:t>；</w:t>
      </w:r>
      <w:r>
        <w:rPr>
          <w:rFonts w:hint="eastAsia" w:ascii="仿宋_GB2312" w:hAnsi="仿宋_GB2312" w:eastAsia="仿宋_GB2312" w:cs="仿宋_GB2312"/>
          <w:bCs/>
          <w:color w:val="auto"/>
          <w:sz w:val="32"/>
          <w:szCs w:val="32"/>
          <w:lang w:eastAsia="zh-CN"/>
        </w:rPr>
        <w:t>本年</w:t>
      </w:r>
      <w:r>
        <w:rPr>
          <w:rFonts w:hint="eastAsia" w:ascii="仿宋_GB2312" w:hAnsi="仿宋_GB2312" w:eastAsia="仿宋_GB2312" w:cs="仿宋_GB2312"/>
          <w:bCs/>
          <w:color w:val="auto"/>
          <w:sz w:val="32"/>
          <w:szCs w:val="32"/>
        </w:rPr>
        <w:t>实际支出4,418.70万元，比上年增加379.51万元，增长9.40%。其中，</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1</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“三公”经费预算94.90万元，实际支出94.90万元</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主要用于公务用车运行维护</w:t>
      </w:r>
      <w:r>
        <w:rPr>
          <w:rFonts w:hint="eastAsia" w:ascii="仿宋_GB2312" w:hAnsi="仿宋_GB2312" w:eastAsia="仿宋_GB2312" w:cs="仿宋_GB2312"/>
          <w:bCs/>
          <w:color w:val="auto"/>
          <w:sz w:val="32"/>
          <w:szCs w:val="32"/>
          <w:lang w:eastAsia="zh-CN"/>
        </w:rPr>
        <w:t>方面</w:t>
      </w:r>
      <w:r>
        <w:rPr>
          <w:rFonts w:hint="eastAsia" w:ascii="仿宋_GB2312" w:hAnsi="仿宋_GB2312" w:eastAsia="仿宋_GB2312" w:cs="仿宋_GB2312"/>
          <w:bCs/>
          <w:color w:val="auto"/>
          <w:sz w:val="32"/>
          <w:szCs w:val="32"/>
        </w:rPr>
        <w:t>，比上年减少2.76万元，降低2.83%。</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2</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日常公用经费预算</w:t>
      </w:r>
      <w:r>
        <w:rPr>
          <w:rFonts w:hint="eastAsia" w:ascii="仿宋_GB2312" w:hAnsi="仿宋_GB2312" w:cs="仿宋_GB2312"/>
          <w:bCs/>
          <w:color w:val="auto"/>
          <w:sz w:val="32"/>
          <w:szCs w:val="32"/>
          <w:lang w:val="en-US" w:eastAsia="zh-CN"/>
        </w:rPr>
        <w:t>46.27</w:t>
      </w:r>
      <w:r>
        <w:rPr>
          <w:rFonts w:hint="eastAsia" w:ascii="仿宋_GB2312" w:hAnsi="仿宋_GB2312" w:eastAsia="仿宋_GB2312" w:cs="仿宋_GB2312"/>
          <w:bCs/>
          <w:color w:val="auto"/>
          <w:sz w:val="32"/>
          <w:szCs w:val="32"/>
        </w:rPr>
        <w:t>万元，实际支出</w:t>
      </w:r>
      <w:r>
        <w:rPr>
          <w:rFonts w:hint="eastAsia" w:ascii="仿宋_GB2312" w:hAnsi="仿宋_GB2312" w:cs="仿宋_GB2312"/>
          <w:bCs/>
          <w:color w:val="auto"/>
          <w:sz w:val="32"/>
          <w:szCs w:val="32"/>
          <w:lang w:val="en-US" w:eastAsia="zh-CN"/>
        </w:rPr>
        <w:t>46.27</w:t>
      </w:r>
      <w:r>
        <w:rPr>
          <w:rFonts w:hint="eastAsia" w:ascii="仿宋_GB2312" w:hAnsi="仿宋_GB2312" w:eastAsia="仿宋_GB2312" w:cs="仿宋_GB2312"/>
          <w:bCs/>
          <w:color w:val="auto"/>
          <w:sz w:val="32"/>
          <w:szCs w:val="32"/>
        </w:rPr>
        <w:t>万元，比上年减少</w:t>
      </w:r>
      <w:r>
        <w:rPr>
          <w:rFonts w:hint="eastAsia" w:ascii="仿宋_GB2312" w:hAnsi="仿宋_GB2312" w:cs="仿宋_GB2312"/>
          <w:bCs/>
          <w:color w:val="auto"/>
          <w:sz w:val="32"/>
          <w:szCs w:val="32"/>
          <w:lang w:val="en-US" w:eastAsia="zh-CN"/>
        </w:rPr>
        <w:t>16.62</w:t>
      </w:r>
      <w:r>
        <w:rPr>
          <w:rFonts w:hint="eastAsia" w:ascii="仿宋_GB2312" w:hAnsi="仿宋_GB2312" w:eastAsia="仿宋_GB2312" w:cs="仿宋_GB2312"/>
          <w:bCs/>
          <w:color w:val="auto"/>
          <w:sz w:val="32"/>
          <w:szCs w:val="32"/>
        </w:rPr>
        <w:t>万元，</w:t>
      </w:r>
      <w:r>
        <w:rPr>
          <w:rFonts w:hint="eastAsia" w:ascii="仿宋_GB2312" w:hAnsi="仿宋_GB2312" w:cs="仿宋_GB2312"/>
          <w:bCs/>
          <w:color w:val="auto"/>
          <w:sz w:val="32"/>
          <w:szCs w:val="32"/>
          <w:lang w:eastAsia="zh-CN"/>
        </w:rPr>
        <w:t>下降</w:t>
      </w:r>
      <w:r>
        <w:rPr>
          <w:rFonts w:hint="eastAsia" w:ascii="仿宋_GB2312" w:hAnsi="仿宋_GB2312" w:cs="仿宋_GB2312"/>
          <w:bCs/>
          <w:color w:val="auto"/>
          <w:sz w:val="32"/>
          <w:szCs w:val="32"/>
          <w:lang w:val="en-US" w:eastAsia="zh-CN"/>
        </w:rPr>
        <w:t>26.43</w:t>
      </w:r>
      <w:r>
        <w:rPr>
          <w:rFonts w:hint="eastAsia" w:ascii="仿宋_GB2312" w:hAnsi="仿宋_GB2312" w:eastAsia="仿宋_GB2312" w:cs="仿宋_GB2312"/>
          <w:bCs/>
          <w:color w:val="auto"/>
          <w:sz w:val="32"/>
          <w:szCs w:val="32"/>
        </w:rPr>
        <w:t>%</w:t>
      </w:r>
      <w:r>
        <w:rPr>
          <w:rFonts w:hint="eastAsia" w:ascii="仿宋_GB2312" w:hAnsi="仿宋_GB2312" w:cs="仿宋_GB2312"/>
          <w:bCs/>
          <w:color w:val="auto"/>
          <w:sz w:val="32"/>
          <w:szCs w:val="32"/>
          <w:lang w:eastAsia="zh-CN"/>
        </w:rPr>
        <w:t>，</w:t>
      </w:r>
      <w:r>
        <w:rPr>
          <w:rFonts w:hint="eastAsia" w:ascii="仿宋_GB2312" w:hAnsi="仿宋_GB2312" w:eastAsia="仿宋_GB2312" w:cs="仿宋_GB2312"/>
          <w:bCs/>
          <w:color w:val="auto"/>
          <w:sz w:val="32"/>
          <w:szCs w:val="32"/>
        </w:rPr>
        <w:t>主要用于办公用品采购、</w:t>
      </w:r>
      <w:r>
        <w:rPr>
          <w:rFonts w:hint="eastAsia" w:ascii="仿宋_GB2312" w:hAnsi="仿宋_GB2312" w:eastAsia="仿宋_GB2312" w:cs="仿宋_GB2312"/>
          <w:bCs/>
          <w:color w:val="auto"/>
          <w:sz w:val="32"/>
          <w:szCs w:val="32"/>
          <w:lang w:eastAsia="zh-CN"/>
        </w:rPr>
        <w:t>差旅费和维修（护）</w:t>
      </w:r>
      <w:r>
        <w:rPr>
          <w:rFonts w:hint="eastAsia" w:ascii="仿宋_GB2312" w:hAnsi="仿宋_GB2312" w:eastAsia="仿宋_GB2312" w:cs="仿宋_GB2312"/>
          <w:bCs/>
          <w:color w:val="auto"/>
          <w:sz w:val="32"/>
          <w:szCs w:val="32"/>
        </w:rPr>
        <w:t>费等日常开支。</w:t>
      </w:r>
    </w:p>
    <w:p>
      <w:pPr>
        <w:keepNext w:val="0"/>
        <w:keepLines w:val="0"/>
        <w:pageBreakBefore w:val="0"/>
        <w:widowControl w:val="0"/>
        <w:numPr>
          <w:ilvl w:val="0"/>
          <w:numId w:val="1"/>
        </w:numPr>
        <w:kinsoku/>
        <w:wordWrap/>
        <w:overflowPunct/>
        <w:topLinePunct w:val="0"/>
        <w:autoSpaceDE/>
        <w:autoSpaceDN/>
        <w:bidi w:val="0"/>
        <w:adjustRightInd/>
        <w:spacing w:line="576" w:lineRule="exact"/>
        <w:ind w:firstLine="616" w:firstLineChars="200"/>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部门整体支出绩效实现情况</w:t>
      </w:r>
    </w:p>
    <w:p>
      <w:pPr>
        <w:keepNext w:val="0"/>
        <w:keepLines w:val="0"/>
        <w:pageBreakBefore w:val="0"/>
        <w:widowControl w:val="0"/>
        <w:numPr>
          <w:ilvl w:val="0"/>
          <w:numId w:val="2"/>
        </w:numPr>
        <w:kinsoku/>
        <w:wordWrap/>
        <w:overflowPunct/>
        <w:topLinePunct w:val="0"/>
        <w:autoSpaceDE/>
        <w:autoSpaceDN/>
        <w:bidi w:val="0"/>
        <w:adjustRightInd/>
        <w:snapToGrid w:val="0"/>
        <w:spacing w:line="576" w:lineRule="exact"/>
        <w:ind w:firstLine="616" w:firstLineChars="200"/>
        <w:textAlignment w:val="auto"/>
        <w:outlineLvl w:val="9"/>
        <w:rPr>
          <w:rFonts w:hint="eastAsia" w:ascii="仿宋_GB2312" w:hAnsi="仿宋_GB2312" w:cs="仿宋_GB2312"/>
          <w:sz w:val="32"/>
          <w:szCs w:val="32"/>
          <w:lang w:val="en-US" w:eastAsia="zh-CN"/>
        </w:rPr>
      </w:pPr>
      <w:r>
        <w:rPr>
          <w:rFonts w:hint="eastAsia" w:ascii="楷体_GB2312" w:hAnsi="楷体_GB2312" w:eastAsia="楷体_GB2312" w:cs="楷体_GB2312"/>
          <w:sz w:val="32"/>
          <w:szCs w:val="32"/>
          <w:lang w:eastAsia="zh-CN"/>
        </w:rPr>
        <w:t>履职完成情况。</w:t>
      </w:r>
      <w:r>
        <w:rPr>
          <w:rFonts w:hint="eastAsia" w:ascii="仿宋_GB2312" w:hAnsi="仿宋_GB2312" w:eastAsia="仿宋_GB2312" w:cs="仿宋_GB2312"/>
          <w:sz w:val="32"/>
          <w:szCs w:val="32"/>
        </w:rPr>
        <w:t>202</w:t>
      </w:r>
      <w:r>
        <w:rPr>
          <w:rFonts w:hint="eastAsia" w:ascii="仿宋_GB2312" w:hAnsi="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w:t>
      </w:r>
      <w:r>
        <w:rPr>
          <w:rFonts w:hint="eastAsia" w:ascii="仿宋_GB2312" w:hAnsi="仿宋_GB2312" w:cs="仿宋_GB2312"/>
          <w:sz w:val="32"/>
          <w:szCs w:val="32"/>
          <w:lang w:eastAsia="zh-CN"/>
        </w:rPr>
        <w:t>市委办公室严格落实全过程预算绩效管理要求，统筹用好年度财政预算资金，按照部门整体支出绩效目标统筹安排经费支出，圆满完成各项履职任务，部门整体支出绩效目标全面有序实现。</w:t>
      </w:r>
    </w:p>
    <w:p>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16" w:firstLineChars="200"/>
        <w:textAlignment w:val="auto"/>
        <w:outlineLvl w:val="9"/>
        <w:rPr>
          <w:rFonts w:hint="eastAsia" w:ascii="仿宋_GB2312" w:hAnsi="仿宋_GB2312" w:cs="仿宋_GB2312"/>
          <w:sz w:val="32"/>
          <w:szCs w:val="32"/>
          <w:lang w:val="en-US" w:eastAsia="zh-CN"/>
        </w:rPr>
      </w:pPr>
      <w:r>
        <w:rPr>
          <w:rFonts w:hint="eastAsia" w:ascii="仿宋_GB2312" w:hAnsi="仿宋_GB2312" w:cs="仿宋_GB2312"/>
          <w:b/>
          <w:bCs/>
          <w:sz w:val="32"/>
          <w:szCs w:val="32"/>
          <w:lang w:val="en-US" w:eastAsia="zh-CN"/>
        </w:rPr>
        <w:t>1.数量指标方面。</w:t>
      </w:r>
      <w:r>
        <w:rPr>
          <w:rFonts w:hint="eastAsia" w:ascii="仿宋_GB2312" w:hAnsi="仿宋_GB2312" w:cs="仿宋_GB2312"/>
          <w:sz w:val="32"/>
          <w:szCs w:val="32"/>
          <w:lang w:val="en-US" w:eastAsia="zh-CN"/>
        </w:rPr>
        <w:t>圆满筹办市委常委会会议、市委全会、全市教育大会、市委乡村产业发展大会等各类会议171场次；完成文书档案数字化加工60万页；围绕重点工作，市委政研室随同市委领导下乡调研26人次，开展自主调研12次，形成调研报告10篇。绩效预期目标均已全部完成。</w:t>
      </w:r>
    </w:p>
    <w:p>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16" w:firstLineChars="200"/>
        <w:textAlignment w:val="auto"/>
        <w:outlineLvl w:val="9"/>
        <w:rPr>
          <w:rFonts w:hint="eastAsia" w:ascii="仿宋_GB2312" w:hAnsi="仿宋_GB2312" w:cs="仿宋_GB2312"/>
          <w:sz w:val="32"/>
          <w:szCs w:val="32"/>
          <w:lang w:val="en-US" w:eastAsia="zh-CN"/>
        </w:rPr>
      </w:pPr>
      <w:r>
        <w:rPr>
          <w:rFonts w:hint="eastAsia" w:ascii="仿宋_GB2312" w:hAnsi="仿宋_GB2312" w:cs="仿宋_GB2312"/>
          <w:b/>
          <w:bCs/>
          <w:sz w:val="32"/>
          <w:szCs w:val="32"/>
          <w:lang w:val="en-US" w:eastAsia="zh-CN"/>
        </w:rPr>
        <w:t>2.质量指标方面。</w:t>
      </w:r>
      <w:r>
        <w:rPr>
          <w:rFonts w:hint="eastAsia" w:ascii="仿宋_GB2312" w:hAnsi="仿宋_GB2312" w:eastAsia="仿宋_GB2312" w:cs="仿宋_GB2312"/>
          <w:snapToGrid w:val="0"/>
          <w:kern w:val="0"/>
          <w:sz w:val="32"/>
          <w:szCs w:val="32"/>
          <w:lang w:val="en-US" w:eastAsia="zh-CN"/>
        </w:rPr>
        <w:t>主动承接中央第十四巡视组在我市期间协调服务联络工作，督促相关部门负责办理中央第十四巡视组转交我市的信访件152件，均已全部办理完成。严格规范做好文件“收、发、办、转、存”工作，加强前置审核和规范性审查，向自治区党委办公厅报送规范性文件11件，备案审查规范性文件51件</w:t>
      </w:r>
      <w:r>
        <w:rPr>
          <w:rFonts w:hint="eastAsia" w:ascii="仿宋_GB2312" w:hAnsi="仿宋_GB2312" w:cs="仿宋_GB2312"/>
          <w:snapToGrid w:val="0"/>
          <w:kern w:val="0"/>
          <w:sz w:val="32"/>
          <w:szCs w:val="32"/>
          <w:lang w:val="en-US" w:eastAsia="zh-CN"/>
        </w:rPr>
        <w:t>，有效确保了公文安全、快速办理和各类文件的规范性、严谨性。</w:t>
      </w:r>
      <w:r>
        <w:rPr>
          <w:rFonts w:hint="eastAsia" w:ascii="仿宋_GB2312" w:hAnsi="仿宋_GB2312" w:cs="仿宋_GB2312"/>
          <w:sz w:val="32"/>
          <w:szCs w:val="32"/>
          <w:lang w:val="en-US" w:eastAsia="zh-CN"/>
        </w:rPr>
        <w:t>绩效预期目标均已全部完成。</w:t>
      </w:r>
    </w:p>
    <w:p>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16" w:firstLineChars="200"/>
        <w:textAlignment w:val="auto"/>
        <w:outlineLvl w:val="9"/>
        <w:rPr>
          <w:rFonts w:hint="eastAsia" w:ascii="仿宋_GB2312" w:hAnsi="仿宋_GB2312" w:cs="仿宋_GB2312"/>
          <w:sz w:val="32"/>
          <w:szCs w:val="32"/>
          <w:lang w:val="en-US" w:eastAsia="zh-CN"/>
        </w:rPr>
      </w:pPr>
      <w:r>
        <w:rPr>
          <w:rFonts w:hint="eastAsia" w:ascii="仿宋_GB2312" w:hAnsi="仿宋_GB2312" w:cs="仿宋_GB2312"/>
          <w:b/>
          <w:bCs/>
          <w:sz w:val="32"/>
          <w:szCs w:val="32"/>
          <w:lang w:val="en-US" w:eastAsia="zh-CN"/>
        </w:rPr>
        <w:t>3.时效指标方面。</w:t>
      </w:r>
      <w:r>
        <w:rPr>
          <w:rFonts w:hint="eastAsia" w:ascii="仿宋_GB2312" w:hAnsi="仿宋_GB2312" w:eastAsia="仿宋_GB2312" w:cs="仿宋_GB2312"/>
          <w:snapToGrid w:val="0"/>
          <w:kern w:val="0"/>
          <w:sz w:val="32"/>
          <w:szCs w:val="32"/>
          <w:lang w:val="en-US" w:eastAsia="zh-CN"/>
        </w:rPr>
        <w:t>信息报送精准高效</w:t>
      </w:r>
      <w:r>
        <w:rPr>
          <w:rFonts w:hint="eastAsia" w:ascii="仿宋_GB2312" w:hAnsi="仿宋_GB2312" w:cs="仿宋_GB2312"/>
          <w:snapToGrid w:val="0"/>
          <w:kern w:val="0"/>
          <w:sz w:val="32"/>
          <w:szCs w:val="32"/>
          <w:lang w:val="en-US" w:eastAsia="zh-CN"/>
        </w:rPr>
        <w:t>，</w:t>
      </w:r>
      <w:r>
        <w:rPr>
          <w:rFonts w:hint="eastAsia" w:ascii="仿宋_GB2312" w:hAnsi="仿宋_GB2312" w:eastAsia="仿宋_GB2312" w:cs="仿宋_GB2312"/>
          <w:snapToGrid w:val="0"/>
          <w:kern w:val="0"/>
          <w:sz w:val="32"/>
          <w:szCs w:val="32"/>
          <w:lang w:val="en-US" w:eastAsia="zh-CN"/>
        </w:rPr>
        <w:t>紧扣上级需求和我市实际，建立健全信息快速反应和研判机制，拓宽信息来源渠道，提升信息编报的时效性、精准性和价值性，有效发挥了“千里眼”“顺风耳”作用。共向中办秘书局报送《林芝直报点信息》50条、向自治区党委办公厅信息综合室报送《林芝信息》2101条、《林芝信息专报》451期，联合市政府办建议提案与信息科编发《党政要情》242期。自治区党委办公厅信息综合室采用《西藏信息》42条、《每日信息》183条（其中“今日头条”30条）、《信息专报》1395条，我市党委信息工作排名位列七地市第二名，其中2月、3月、4月、8月、9月当月排名位列七地市第一名。未发生因迟报、漏报紧急信息被通报批评的情况</w:t>
      </w:r>
      <w:r>
        <w:rPr>
          <w:rFonts w:hint="eastAsia" w:ascii="仿宋_GB2312" w:hAnsi="仿宋_GB2312" w:cs="仿宋_GB2312"/>
          <w:snapToGrid w:val="0"/>
          <w:kern w:val="0"/>
          <w:sz w:val="32"/>
          <w:szCs w:val="32"/>
          <w:lang w:val="en-US" w:eastAsia="zh-CN"/>
        </w:rPr>
        <w:t>，完成预设</w:t>
      </w:r>
      <w:r>
        <w:rPr>
          <w:rFonts w:hint="eastAsia" w:ascii="仿宋_GB2312" w:hAnsi="仿宋_GB2312" w:eastAsia="仿宋_GB2312" w:cs="仿宋_GB2312"/>
          <w:snapToGrid w:val="0"/>
          <w:kern w:val="0"/>
          <w:sz w:val="32"/>
          <w:szCs w:val="32"/>
          <w:lang w:val="en-US" w:eastAsia="zh-CN"/>
        </w:rPr>
        <w:t>绩效目标。</w:t>
      </w:r>
    </w:p>
    <w:p>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16" w:firstLineChars="200"/>
        <w:textAlignment w:val="auto"/>
        <w:outlineLvl w:val="9"/>
        <w:rPr>
          <w:rFonts w:hint="eastAsia" w:ascii="仿宋_GB2312" w:hAnsi="仿宋_GB2312" w:cs="仿宋_GB2312"/>
          <w:sz w:val="32"/>
          <w:szCs w:val="32"/>
          <w:lang w:val="en-US" w:eastAsia="zh-CN"/>
        </w:rPr>
      </w:pPr>
      <w:r>
        <w:rPr>
          <w:rFonts w:hint="eastAsia" w:ascii="仿宋_GB2312" w:hAnsi="仿宋_GB2312" w:cs="仿宋_GB2312"/>
          <w:b/>
          <w:bCs/>
          <w:sz w:val="32"/>
          <w:szCs w:val="32"/>
          <w:lang w:val="en-US" w:eastAsia="zh-CN"/>
        </w:rPr>
        <w:t>4.成本指标方面。</w:t>
      </w:r>
      <w:r>
        <w:rPr>
          <w:rFonts w:hint="eastAsia" w:ascii="仿宋_GB2312" w:hAnsi="仿宋_GB2312" w:eastAsia="仿宋_GB2312" w:cs="仿宋_GB2312"/>
          <w:snapToGrid w:val="0"/>
          <w:kern w:val="0"/>
          <w:sz w:val="32"/>
          <w:szCs w:val="32"/>
          <w:lang w:val="en-US" w:eastAsia="zh-CN"/>
        </w:rPr>
        <w:t>持续深化节约型机关建设，坚决落实厉行节约反对浪费要求，制定施行《政府采购内部控制制度》，严肃财经纪律，加强财务管理，严控“三公”经费和一般性支出，提升预算执行和财务管理的科学化水平，</w:t>
      </w:r>
      <w:r>
        <w:rPr>
          <w:rFonts w:hint="eastAsia" w:ascii="仿宋_GB2312" w:hAnsi="仿宋_GB2312" w:cs="仿宋_GB2312"/>
          <w:snapToGrid w:val="0"/>
          <w:kern w:val="0"/>
          <w:sz w:val="32"/>
          <w:szCs w:val="32"/>
          <w:lang w:val="en-US" w:eastAsia="zh-CN"/>
        </w:rPr>
        <w:t>2025年度</w:t>
      </w:r>
      <w:r>
        <w:rPr>
          <w:rFonts w:hint="eastAsia" w:ascii="仿宋_GB2312" w:hAnsi="仿宋_GB2312" w:eastAsia="仿宋_GB2312" w:cs="仿宋_GB2312"/>
          <w:snapToGrid w:val="0"/>
          <w:kern w:val="0"/>
          <w:sz w:val="32"/>
          <w:szCs w:val="32"/>
          <w:lang w:val="en-US" w:eastAsia="zh-CN"/>
        </w:rPr>
        <w:t>公用经费</w:t>
      </w:r>
      <w:r>
        <w:rPr>
          <w:rFonts w:hint="eastAsia" w:ascii="仿宋_GB2312" w:hAnsi="仿宋_GB2312" w:cs="仿宋_GB2312"/>
          <w:snapToGrid w:val="0"/>
          <w:kern w:val="0"/>
          <w:sz w:val="32"/>
          <w:szCs w:val="32"/>
          <w:lang w:val="en-US" w:eastAsia="zh-CN"/>
        </w:rPr>
        <w:t>共计支出46.27万元，</w:t>
      </w:r>
      <w:r>
        <w:rPr>
          <w:rFonts w:hint="eastAsia" w:ascii="仿宋_GB2312" w:hAnsi="仿宋_GB2312" w:eastAsia="仿宋_GB2312" w:cs="仿宋_GB2312"/>
          <w:snapToGrid w:val="0"/>
          <w:kern w:val="0"/>
          <w:sz w:val="32"/>
          <w:szCs w:val="32"/>
          <w:lang w:val="en-US" w:eastAsia="zh-CN"/>
        </w:rPr>
        <w:t>同比下降</w:t>
      </w:r>
      <w:r>
        <w:rPr>
          <w:rFonts w:hint="eastAsia" w:ascii="仿宋_GB2312" w:hAnsi="仿宋_GB2312" w:cs="仿宋_GB2312"/>
          <w:snapToGrid w:val="0"/>
          <w:kern w:val="0"/>
          <w:sz w:val="32"/>
          <w:szCs w:val="32"/>
          <w:lang w:val="en-US" w:eastAsia="zh-CN"/>
        </w:rPr>
        <w:t>26.43%，完成预设</w:t>
      </w:r>
      <w:r>
        <w:rPr>
          <w:rFonts w:hint="eastAsia" w:ascii="仿宋_GB2312" w:hAnsi="仿宋_GB2312" w:eastAsia="仿宋_GB2312" w:cs="仿宋_GB2312"/>
          <w:snapToGrid w:val="0"/>
          <w:kern w:val="0"/>
          <w:sz w:val="32"/>
          <w:szCs w:val="32"/>
          <w:lang w:val="en-US" w:eastAsia="zh-CN"/>
        </w:rPr>
        <w:t>绩效目标。</w:t>
      </w:r>
    </w:p>
    <w:p>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16" w:firstLineChars="200"/>
        <w:textAlignment w:val="auto"/>
        <w:outlineLvl w:val="9"/>
        <w:rPr>
          <w:rFonts w:hint="eastAsia" w:ascii="仿宋_GB2312" w:hAnsi="仿宋_GB2312" w:cs="仿宋_GB2312"/>
          <w:sz w:val="32"/>
          <w:szCs w:val="32"/>
          <w:lang w:eastAsia="zh-CN"/>
        </w:rPr>
      </w:pPr>
      <w:r>
        <w:rPr>
          <w:rFonts w:hint="eastAsia" w:ascii="楷体_GB2312" w:hAnsi="楷体_GB2312" w:eastAsia="楷体_GB2312" w:cs="楷体_GB2312"/>
          <w:sz w:val="32"/>
          <w:szCs w:val="32"/>
          <w:lang w:eastAsia="zh-CN"/>
        </w:rPr>
        <w:t>（二）履职效果情况。</w:t>
      </w:r>
      <w:r>
        <w:rPr>
          <w:rFonts w:hint="eastAsia" w:ascii="仿宋_GB2312" w:hAnsi="仿宋_GB2312" w:cs="仿宋_GB2312"/>
          <w:sz w:val="32"/>
          <w:szCs w:val="32"/>
          <w:lang w:eastAsia="zh-CN"/>
        </w:rPr>
        <w:t>充分发挥市委中枢统筹协调作用，高效统筹全市重大事项推进，推动市委各项决策部署落地生根，有效保障全市政治生态稳定、政务运行高效，全年效益指标全面达标。</w:t>
      </w:r>
      <w:r>
        <w:rPr>
          <w:rFonts w:hint="eastAsia" w:ascii="仿宋_GB2312" w:hAnsi="仿宋_GB2312" w:cs="仿宋_GB2312"/>
          <w:b/>
          <w:bCs/>
          <w:sz w:val="32"/>
          <w:szCs w:val="32"/>
          <w:lang w:val="en-US" w:eastAsia="zh-CN"/>
        </w:rPr>
        <w:t>针对社会效益指标方面。</w:t>
      </w:r>
      <w:r>
        <w:rPr>
          <w:rFonts w:hint="eastAsia" w:ascii="仿宋_GB2312" w:hAnsi="仿宋_GB2312" w:eastAsia="仿宋_GB2312" w:cs="仿宋_GB2312"/>
          <w:snapToGrid w:val="0"/>
          <w:kern w:val="0"/>
          <w:sz w:val="32"/>
          <w:szCs w:val="32"/>
          <w:lang w:val="en-US" w:eastAsia="zh-CN"/>
        </w:rPr>
        <w:t>严格落实落细基层减负工作</w:t>
      </w:r>
      <w:r>
        <w:rPr>
          <w:rFonts w:hint="eastAsia" w:ascii="仿宋_GB2312" w:hAnsi="仿宋_GB2312" w:cs="仿宋_GB2312"/>
          <w:snapToGrid w:val="0"/>
          <w:kern w:val="0"/>
          <w:sz w:val="32"/>
          <w:szCs w:val="32"/>
          <w:lang w:val="en-US" w:eastAsia="zh-CN"/>
        </w:rPr>
        <w:t>，</w:t>
      </w:r>
      <w:r>
        <w:rPr>
          <w:rFonts w:hint="eastAsia" w:ascii="仿宋_GB2312" w:hAnsi="仿宋_GB2312" w:eastAsia="仿宋_GB2312" w:cs="仿宋_GB2312"/>
          <w:snapToGrid w:val="0"/>
          <w:kern w:val="0"/>
          <w:sz w:val="32"/>
          <w:szCs w:val="32"/>
          <w:lang w:val="en-US" w:eastAsia="zh-CN"/>
        </w:rPr>
        <w:t>坚持高位推动，进一步优化专项工作机制，加强统筹协调，强化政策解读和制度保障，压紧压实责任链条，合力抓好工作落实。2025年，市级层面制发规范性文件同比下降21.98%，综合性会议平均时长压缩30%以上；市县两级责任书和“一票否决”事项由2024年的49项压缩至29项，政务公众号停用87个，网络工作群清理385个。基层综合评价达96.94分，减负成效得到基层广泛认可。</w:t>
      </w:r>
    </w:p>
    <w:p>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16" w:firstLineChars="200"/>
        <w:textAlignment w:val="auto"/>
        <w:outlineLvl w:val="9"/>
        <w:rPr>
          <w:rFonts w:hint="eastAsia" w:ascii="仿宋_GB2312" w:hAnsi="仿宋_GB2312" w:eastAsia="仿宋_GB2312" w:cs="仿宋_GB2312"/>
          <w:snapToGrid w:val="0"/>
          <w:kern w:val="0"/>
          <w:sz w:val="32"/>
          <w:szCs w:val="32"/>
          <w:lang w:val="en-US" w:eastAsia="zh-CN"/>
        </w:rPr>
      </w:pPr>
      <w:r>
        <w:rPr>
          <w:rFonts w:hint="eastAsia" w:ascii="楷体_GB2312" w:hAnsi="楷体_GB2312" w:eastAsia="楷体_GB2312" w:cs="楷体_GB2312"/>
          <w:sz w:val="32"/>
          <w:szCs w:val="32"/>
          <w:lang w:eastAsia="zh-CN"/>
        </w:rPr>
        <w:t>（三）社会满意度及可持续影响。</w:t>
      </w:r>
      <w:r>
        <w:rPr>
          <w:rFonts w:hint="eastAsia" w:ascii="仿宋_GB2312" w:hAnsi="仿宋_GB2312" w:eastAsia="仿宋_GB2312" w:cs="仿宋_GB2312"/>
          <w:snapToGrid w:val="0"/>
          <w:kern w:val="0"/>
          <w:sz w:val="32"/>
          <w:szCs w:val="32"/>
          <w:lang w:val="en-US" w:eastAsia="zh-CN"/>
        </w:rPr>
        <w:t>本年度，市委办公室坚持务实的工作作风，通过扎实开展“三服务”工作，用心推动市委决策部署落实落地。同时，通过持续完善内部管理制度、强化干部队伍业务培训、优化信息化办公</w:t>
      </w:r>
      <w:r>
        <w:rPr>
          <w:rFonts w:hint="eastAsia" w:ascii="仿宋_GB2312" w:hAnsi="仿宋_GB2312" w:cs="仿宋_GB2312"/>
          <w:snapToGrid w:val="0"/>
          <w:kern w:val="0"/>
          <w:sz w:val="32"/>
          <w:szCs w:val="32"/>
          <w:lang w:val="en-US" w:eastAsia="zh-CN"/>
        </w:rPr>
        <w:t>系统</w:t>
      </w:r>
      <w:r>
        <w:rPr>
          <w:rFonts w:hint="eastAsia" w:ascii="仿宋_GB2312" w:hAnsi="仿宋_GB2312" w:eastAsia="仿宋_GB2312" w:cs="仿宋_GB2312"/>
          <w:snapToGrid w:val="0"/>
          <w:kern w:val="0"/>
          <w:sz w:val="32"/>
          <w:szCs w:val="32"/>
          <w:lang w:val="en-US" w:eastAsia="zh-CN"/>
        </w:rPr>
        <w:t>，构建长效化、规范化的政务运行机制，为后续长期高效履职、持续发挥中枢作用奠定坚实基础，具备良好的可持续发展能力</w:t>
      </w:r>
      <w:r>
        <w:rPr>
          <w:rFonts w:hint="eastAsia" w:ascii="仿宋_GB2312" w:hAnsi="仿宋_GB2312" w:cs="仿宋_GB2312"/>
          <w:snapToGrid w:val="0"/>
          <w:kern w:val="0"/>
          <w:sz w:val="32"/>
          <w:szCs w:val="32"/>
          <w:lang w:val="en-US" w:eastAsia="zh-CN"/>
        </w:rPr>
        <w:t>，全年相关绩效目标均得到实现。</w:t>
      </w:r>
    </w:p>
    <w:p>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16" w:firstLineChars="200"/>
        <w:textAlignment w:val="auto"/>
        <w:outlineLvl w:val="9"/>
        <w:rPr>
          <w:rFonts w:hint="eastAsia" w:ascii="仿宋_GB2312" w:hAnsi="仿宋_GB2312" w:cs="仿宋_GB2312"/>
          <w:sz w:val="32"/>
          <w:szCs w:val="32"/>
          <w:lang w:val="en-US" w:eastAsia="zh-CN"/>
        </w:rPr>
      </w:pPr>
      <w:r>
        <w:rPr>
          <w:rFonts w:hint="eastAsia" w:ascii="仿宋_GB2312" w:hAnsi="仿宋_GB2312" w:cs="仿宋_GB2312"/>
          <w:b/>
          <w:bCs/>
          <w:sz w:val="32"/>
          <w:szCs w:val="32"/>
          <w:lang w:val="en-US" w:eastAsia="zh-CN"/>
        </w:rPr>
        <w:t>1.可持续影响指标方面。</w:t>
      </w:r>
      <w:r>
        <w:rPr>
          <w:rFonts w:hint="eastAsia" w:ascii="仿宋_GB2312" w:hAnsi="仿宋_GB2312" w:eastAsia="仿宋_GB2312" w:cs="仿宋_GB2312"/>
          <w:snapToGrid w:val="0"/>
          <w:kern w:val="0"/>
          <w:sz w:val="32"/>
          <w:szCs w:val="32"/>
          <w:lang w:val="en-US" w:eastAsia="zh-CN"/>
        </w:rPr>
        <w:t>通过进一步优化服务模式，改进保障机制、丰富支撑手段，确保全市通信服务</w:t>
      </w:r>
      <w:r>
        <w:rPr>
          <w:rFonts w:hint="eastAsia" w:ascii="仿宋_GB2312" w:hAnsi="仿宋_GB2312" w:cs="仿宋_GB2312"/>
          <w:snapToGrid w:val="0"/>
          <w:kern w:val="0"/>
          <w:sz w:val="32"/>
          <w:szCs w:val="32"/>
          <w:lang w:val="en-US" w:eastAsia="zh-CN"/>
        </w:rPr>
        <w:t>圆满完成</w:t>
      </w:r>
      <w:r>
        <w:rPr>
          <w:rFonts w:hint="eastAsia" w:ascii="仿宋_GB2312" w:hAnsi="仿宋_GB2312" w:eastAsia="仿宋_GB2312" w:cs="仿宋_GB2312"/>
          <w:snapToGrid w:val="0"/>
          <w:kern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16" w:firstLineChars="200"/>
        <w:textAlignment w:val="auto"/>
        <w:outlineLvl w:val="9"/>
        <w:rPr>
          <w:rFonts w:hint="eastAsia" w:ascii="仿宋_GB2312" w:hAnsi="仿宋_GB2312" w:eastAsia="仿宋_GB2312" w:cs="仿宋_GB2312"/>
          <w:snapToGrid w:val="0"/>
          <w:kern w:val="0"/>
          <w:sz w:val="32"/>
          <w:szCs w:val="32"/>
          <w:lang w:val="en-US" w:eastAsia="zh-CN"/>
        </w:rPr>
      </w:pPr>
      <w:r>
        <w:rPr>
          <w:rFonts w:hint="eastAsia" w:ascii="仿宋_GB2312" w:hAnsi="仿宋_GB2312" w:cs="仿宋_GB2312"/>
          <w:b/>
          <w:bCs/>
          <w:sz w:val="32"/>
          <w:szCs w:val="32"/>
          <w:lang w:val="en-US" w:eastAsia="zh-CN"/>
        </w:rPr>
        <w:t>2.服务对象满意度指标方面。</w:t>
      </w:r>
      <w:r>
        <w:rPr>
          <w:rFonts w:hint="eastAsia" w:ascii="仿宋_GB2312" w:hAnsi="仿宋_GB2312" w:eastAsia="仿宋_GB2312" w:cs="仿宋_GB2312"/>
          <w:snapToGrid w:val="0"/>
          <w:kern w:val="0"/>
          <w:sz w:val="32"/>
          <w:szCs w:val="32"/>
          <w:lang w:val="en-US" w:eastAsia="zh-CN"/>
        </w:rPr>
        <w:t>2025年办公室全体职工讲政治、顾大局，立足本职，服务中心，默默奉献，付出辛劳，确保全年工作任务圆满完成</w:t>
      </w:r>
      <w:r>
        <w:rPr>
          <w:rFonts w:hint="eastAsia" w:ascii="仿宋_GB2312" w:hAnsi="仿宋_GB2312" w:cs="仿宋_GB2312"/>
          <w:snapToGrid w:val="0"/>
          <w:kern w:val="0"/>
          <w:sz w:val="32"/>
          <w:szCs w:val="32"/>
          <w:lang w:val="en-US" w:eastAsia="zh-CN"/>
        </w:rPr>
        <w:t>。</w:t>
      </w:r>
      <w:r>
        <w:rPr>
          <w:rFonts w:hint="eastAsia" w:ascii="仿宋_GB2312" w:hAnsi="仿宋_GB2312" w:eastAsia="仿宋_GB2312" w:cs="仿宋_GB2312"/>
          <w:snapToGrid w:val="0"/>
          <w:kern w:val="0"/>
          <w:sz w:val="32"/>
          <w:szCs w:val="32"/>
          <w:lang w:val="en-US" w:eastAsia="zh-CN"/>
        </w:rPr>
        <w:t>全办干部职工对办公室各项工作开展情况</w:t>
      </w:r>
      <w:r>
        <w:rPr>
          <w:rFonts w:hint="eastAsia" w:ascii="仿宋_GB2312" w:hAnsi="仿宋_GB2312" w:cs="仿宋_GB2312"/>
          <w:snapToGrid w:val="0"/>
          <w:kern w:val="0"/>
          <w:sz w:val="32"/>
          <w:szCs w:val="32"/>
          <w:lang w:val="en-US" w:eastAsia="zh-CN"/>
        </w:rPr>
        <w:t>均表示满意，实现年初绩效目标</w:t>
      </w:r>
      <w:r>
        <w:rPr>
          <w:rFonts w:hint="eastAsia" w:ascii="仿宋_GB2312" w:hAnsi="仿宋_GB2312" w:eastAsia="仿宋_GB2312" w:cs="仿宋_GB2312"/>
          <w:snapToGrid w:val="0"/>
          <w:kern w:val="0"/>
          <w:sz w:val="32"/>
          <w:szCs w:val="32"/>
          <w:lang w:val="en-US" w:eastAsia="zh-CN"/>
        </w:rPr>
        <w:t>。</w:t>
      </w:r>
    </w:p>
    <w:p>
      <w:pPr>
        <w:keepNext w:val="0"/>
        <w:keepLines w:val="0"/>
        <w:pageBreakBefore w:val="0"/>
        <w:widowControl w:val="0"/>
        <w:kinsoku/>
        <w:wordWrap/>
        <w:overflowPunct/>
        <w:topLinePunct w:val="0"/>
        <w:autoSpaceDE/>
        <w:autoSpaceDN/>
        <w:bidi w:val="0"/>
        <w:adjustRightInd/>
        <w:spacing w:line="576" w:lineRule="exact"/>
        <w:ind w:firstLine="616" w:firstLineChars="200"/>
        <w:textAlignment w:val="auto"/>
        <w:outlineLvl w:val="9"/>
        <w:rPr>
          <w:rFonts w:hint="eastAsia" w:ascii="黑体" w:hAnsi="黑体" w:eastAsia="黑体" w:cs="黑体"/>
          <w:sz w:val="32"/>
          <w:szCs w:val="32"/>
        </w:rPr>
      </w:pPr>
      <w:bookmarkStart w:id="10" w:name="_Toc18975"/>
      <w:r>
        <w:rPr>
          <w:rFonts w:hint="eastAsia" w:ascii="黑体" w:hAnsi="黑体" w:eastAsia="黑体" w:cs="黑体"/>
          <w:sz w:val="32"/>
          <w:szCs w:val="32"/>
          <w:lang w:eastAsia="zh-CN"/>
        </w:rPr>
        <w:t>三</w:t>
      </w:r>
      <w:r>
        <w:rPr>
          <w:rFonts w:hint="eastAsia" w:ascii="黑体" w:hAnsi="黑体" w:eastAsia="黑体" w:cs="黑体"/>
          <w:sz w:val="32"/>
          <w:szCs w:val="32"/>
        </w:rPr>
        <w:t>、</w:t>
      </w:r>
      <w:r>
        <w:rPr>
          <w:rFonts w:hint="eastAsia" w:ascii="黑体" w:hAnsi="黑体" w:eastAsia="黑体" w:cs="黑体"/>
          <w:sz w:val="32"/>
          <w:szCs w:val="32"/>
          <w:lang w:eastAsia="zh-CN"/>
        </w:rPr>
        <w:t>部门整体支出绩效中</w:t>
      </w:r>
      <w:r>
        <w:rPr>
          <w:rFonts w:hint="eastAsia" w:ascii="黑体" w:hAnsi="黑体" w:eastAsia="黑体" w:cs="黑体"/>
          <w:sz w:val="32"/>
          <w:szCs w:val="32"/>
        </w:rPr>
        <w:t>存在的问题及改进措施</w:t>
      </w:r>
    </w:p>
    <w:p>
      <w:pPr>
        <w:keepNext w:val="0"/>
        <w:keepLines w:val="0"/>
        <w:pageBreakBefore w:val="0"/>
        <w:widowControl w:val="0"/>
        <w:kinsoku/>
        <w:wordWrap/>
        <w:overflowPunct/>
        <w:topLinePunct w:val="0"/>
        <w:autoSpaceDE/>
        <w:autoSpaceDN/>
        <w:bidi w:val="0"/>
        <w:adjustRightInd/>
        <w:spacing w:line="576" w:lineRule="exact"/>
        <w:ind w:firstLine="616" w:firstLineChars="200"/>
        <w:textAlignment w:val="auto"/>
        <w:outlineLvl w:val="9"/>
        <w:rPr>
          <w:rFonts w:hint="default" w:ascii="仿宋_GB2312" w:hAnsi="仿宋_GB2312" w:eastAsia="仿宋_GB2312" w:cs="仿宋_GB2312"/>
          <w:sz w:val="32"/>
          <w:szCs w:val="32"/>
          <w:lang w:val="en-US"/>
        </w:rPr>
      </w:pPr>
      <w:r>
        <w:rPr>
          <w:rFonts w:hint="eastAsia" w:ascii="楷体_GB2312" w:hAnsi="楷体_GB2312" w:eastAsia="楷体_GB2312" w:cs="楷体_GB2312"/>
          <w:sz w:val="32"/>
          <w:szCs w:val="32"/>
        </w:rPr>
        <w:t>（一）</w:t>
      </w:r>
      <w:r>
        <w:rPr>
          <w:rFonts w:hint="eastAsia" w:ascii="楷体_GB2312" w:hAnsi="楷体_GB2312" w:eastAsia="楷体_GB2312" w:cs="楷体_GB2312"/>
          <w:sz w:val="32"/>
          <w:szCs w:val="32"/>
          <w:lang w:eastAsia="zh-CN"/>
        </w:rPr>
        <w:t>主要</w:t>
      </w:r>
      <w:r>
        <w:rPr>
          <w:rFonts w:hint="eastAsia" w:ascii="楷体_GB2312" w:hAnsi="楷体_GB2312" w:eastAsia="楷体_GB2312" w:cs="楷体_GB2312"/>
          <w:sz w:val="32"/>
          <w:szCs w:val="32"/>
        </w:rPr>
        <w:t>问题</w:t>
      </w:r>
      <w:r>
        <w:rPr>
          <w:rFonts w:hint="eastAsia" w:ascii="楷体_GB2312" w:hAnsi="楷体_GB2312" w:eastAsia="楷体_GB2312" w:cs="楷体_GB2312"/>
          <w:sz w:val="32"/>
          <w:szCs w:val="32"/>
          <w:lang w:eastAsia="zh-CN"/>
        </w:rPr>
        <w:t>及原因分析。</w:t>
      </w:r>
      <w:r>
        <w:rPr>
          <w:rFonts w:hint="eastAsia" w:ascii="仿宋_GB2312" w:hAnsi="仿宋_GB2312" w:cs="仿宋_GB2312"/>
          <w:b/>
          <w:bCs/>
          <w:sz w:val="32"/>
          <w:szCs w:val="32"/>
          <w:lang w:val="en-US" w:eastAsia="zh-CN"/>
        </w:rPr>
        <w:t>一是预算绩效管理不够精细。</w:t>
      </w:r>
      <w:r>
        <w:rPr>
          <w:rFonts w:hint="eastAsia" w:ascii="仿宋_GB2312" w:hAnsi="仿宋_GB2312" w:cs="仿宋_GB2312"/>
          <w:sz w:val="32"/>
          <w:szCs w:val="32"/>
          <w:lang w:val="en-US" w:eastAsia="zh-CN"/>
        </w:rPr>
        <w:t>在年度执行过程中，对于事中监管多侧重于资金进度，对业务成效的动态跟踪不够深入。主要原因为：对预算绩效管理专业知识掌握不够系统、全面，绩效和业务融合的意识不强，仍然存在一定的重业务推进、轻绩效管控思维。</w:t>
      </w:r>
      <w:r>
        <w:rPr>
          <w:rFonts w:hint="eastAsia" w:ascii="仿宋_GB2312" w:hAnsi="仿宋_GB2312" w:cs="仿宋_GB2312"/>
          <w:b/>
          <w:bCs/>
          <w:sz w:val="32"/>
          <w:szCs w:val="32"/>
          <w:lang w:val="en-US" w:eastAsia="zh-CN"/>
        </w:rPr>
        <w:t>二是部分项目资金效益发挥不够充分。</w:t>
      </w:r>
      <w:r>
        <w:rPr>
          <w:rFonts w:hint="eastAsia" w:ascii="仿宋_GB2312" w:hAnsi="仿宋_GB2312" w:cs="仿宋_GB2312"/>
          <w:sz w:val="32"/>
          <w:szCs w:val="32"/>
          <w:lang w:val="en-US" w:eastAsia="zh-CN"/>
        </w:rPr>
        <w:t>个别项目实施周期较长，一定程度上影响了资金使用的高效性和项目效益发挥的及时性。主要原因为：预算编制前期调研论证不够充分，前期准备工作不足，导致资金到达后无法第一时间高效推进项目。</w:t>
      </w:r>
    </w:p>
    <w:p>
      <w:pPr>
        <w:keepNext w:val="0"/>
        <w:keepLines w:val="0"/>
        <w:pageBreakBefore w:val="0"/>
        <w:widowControl w:val="0"/>
        <w:kinsoku/>
        <w:wordWrap/>
        <w:overflowPunct/>
        <w:topLinePunct w:val="0"/>
        <w:autoSpaceDE/>
        <w:autoSpaceDN/>
        <w:bidi w:val="0"/>
        <w:adjustRightInd/>
        <w:spacing w:line="576" w:lineRule="exact"/>
        <w:ind w:firstLine="616" w:firstLineChars="200"/>
        <w:textAlignment w:val="auto"/>
        <w:outlineLvl w:val="9"/>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）改进</w:t>
      </w:r>
      <w:r>
        <w:rPr>
          <w:rFonts w:hint="eastAsia" w:ascii="楷体_GB2312" w:hAnsi="楷体_GB2312" w:eastAsia="楷体_GB2312" w:cs="楷体_GB2312"/>
          <w:sz w:val="32"/>
          <w:szCs w:val="32"/>
          <w:lang w:eastAsia="zh-CN"/>
        </w:rPr>
        <w:t>的方向和具体措施。</w:t>
      </w: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sz w:val="32"/>
          <w:szCs w:val="32"/>
          <w:lang w:eastAsia="zh-CN"/>
        </w:rPr>
        <w:t>强化预算绩效管理，规范绩效管理全流程，将绩效目标管理、绩效跟踪管理、绩效评价管理和评价结果反馈与应用管理贯穿于预算编制、执行、监督的全过程，</w:t>
      </w:r>
      <w:r>
        <w:rPr>
          <w:rFonts w:hint="eastAsia" w:ascii="仿宋_GB2312" w:hAnsi="仿宋_GB2312" w:cs="仿宋_GB2312"/>
          <w:sz w:val="32"/>
          <w:szCs w:val="32"/>
          <w:lang w:eastAsia="zh-CN"/>
        </w:rPr>
        <w:t>进一步</w:t>
      </w:r>
      <w:r>
        <w:rPr>
          <w:rFonts w:hint="eastAsia" w:ascii="仿宋_GB2312" w:hAnsi="仿宋_GB2312" w:eastAsia="仿宋_GB2312" w:cs="仿宋_GB2312"/>
          <w:sz w:val="32"/>
          <w:szCs w:val="32"/>
          <w:lang w:eastAsia="zh-CN"/>
        </w:rPr>
        <w:t>加强预算绩效管理业务培训力度，提升市委办公室全体工作人员绩效意识，提高预算绩效管理精细化程度。</w:t>
      </w:r>
      <w:r>
        <w:rPr>
          <w:rFonts w:hint="eastAsia" w:ascii="仿宋_GB2312" w:hAnsi="仿宋_GB2312" w:cs="仿宋_GB2312"/>
          <w:b/>
          <w:bCs/>
          <w:sz w:val="32"/>
          <w:szCs w:val="32"/>
          <w:lang w:eastAsia="zh-CN"/>
        </w:rPr>
        <w:t>二是</w:t>
      </w:r>
      <w:r>
        <w:rPr>
          <w:rFonts w:hint="eastAsia" w:ascii="仿宋_GB2312" w:hAnsi="仿宋_GB2312" w:cs="仿宋_GB2312"/>
          <w:sz w:val="32"/>
          <w:szCs w:val="32"/>
          <w:lang w:eastAsia="zh-CN"/>
        </w:rPr>
        <w:t>强化事前管控，在编制项目预算前深入开展调研论证</w:t>
      </w:r>
      <w:r>
        <w:rPr>
          <w:rFonts w:hint="eastAsia" w:ascii="仿宋_GB2312" w:hAnsi="仿宋_GB2312" w:eastAsia="仿宋_GB2312" w:cs="仿宋_GB2312"/>
          <w:sz w:val="32"/>
          <w:szCs w:val="32"/>
        </w:rPr>
        <w:t>，做好</w:t>
      </w:r>
      <w:r>
        <w:rPr>
          <w:rFonts w:hint="eastAsia" w:ascii="仿宋_GB2312" w:hAnsi="仿宋_GB2312" w:cs="仿宋_GB2312"/>
          <w:sz w:val="32"/>
          <w:szCs w:val="32"/>
          <w:lang w:eastAsia="zh-CN"/>
        </w:rPr>
        <w:t>、做足</w:t>
      </w:r>
      <w:r>
        <w:rPr>
          <w:rFonts w:hint="eastAsia" w:ascii="仿宋_GB2312" w:hAnsi="仿宋_GB2312" w:eastAsia="仿宋_GB2312" w:cs="仿宋_GB2312"/>
          <w:sz w:val="32"/>
          <w:szCs w:val="32"/>
        </w:rPr>
        <w:t>前期准备工作，</w:t>
      </w:r>
      <w:r>
        <w:rPr>
          <w:rFonts w:hint="eastAsia" w:ascii="仿宋_GB2312" w:hAnsi="仿宋_GB2312" w:cs="仿宋_GB2312"/>
          <w:sz w:val="32"/>
          <w:szCs w:val="32"/>
          <w:lang w:eastAsia="zh-CN"/>
        </w:rPr>
        <w:t>待资金达到后立即启动项目实施程序</w:t>
      </w:r>
      <w:r>
        <w:rPr>
          <w:rFonts w:hint="eastAsia" w:ascii="仿宋_GB2312" w:hAnsi="仿宋_GB2312" w:eastAsia="仿宋_GB2312" w:cs="仿宋_GB2312"/>
          <w:sz w:val="32"/>
          <w:szCs w:val="32"/>
        </w:rPr>
        <w:t>，提高</w:t>
      </w:r>
      <w:r>
        <w:rPr>
          <w:rFonts w:hint="eastAsia" w:ascii="仿宋_GB2312" w:hAnsi="仿宋_GB2312" w:cs="仿宋_GB2312"/>
          <w:sz w:val="32"/>
          <w:szCs w:val="32"/>
          <w:lang w:eastAsia="zh-CN"/>
        </w:rPr>
        <w:t>执行</w:t>
      </w:r>
      <w:r>
        <w:rPr>
          <w:rFonts w:hint="eastAsia" w:ascii="仿宋_GB2312" w:hAnsi="仿宋_GB2312" w:eastAsia="仿宋_GB2312" w:cs="仿宋_GB2312"/>
          <w:sz w:val="32"/>
          <w:szCs w:val="32"/>
        </w:rPr>
        <w:t>效率</w:t>
      </w:r>
      <w:r>
        <w:rPr>
          <w:rFonts w:hint="eastAsia" w:ascii="仿宋_GB2312" w:hAnsi="仿宋_GB2312" w:cs="仿宋_GB2312"/>
          <w:sz w:val="32"/>
          <w:szCs w:val="32"/>
          <w:lang w:eastAsia="zh-CN"/>
        </w:rPr>
        <w:t>和资金使用效益</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pacing w:line="576" w:lineRule="exact"/>
        <w:ind w:firstLine="616" w:firstLineChars="200"/>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四</w:t>
      </w:r>
      <w:r>
        <w:rPr>
          <w:rFonts w:hint="eastAsia" w:ascii="黑体" w:hAnsi="黑体" w:eastAsia="黑体" w:cs="黑体"/>
          <w:sz w:val="32"/>
          <w:szCs w:val="32"/>
        </w:rPr>
        <w:t>、</w:t>
      </w:r>
      <w:r>
        <w:rPr>
          <w:rFonts w:hint="eastAsia" w:ascii="黑体" w:hAnsi="黑体" w:eastAsia="黑体" w:cs="黑体"/>
          <w:sz w:val="32"/>
          <w:szCs w:val="32"/>
          <w:lang w:eastAsia="zh-CN"/>
        </w:rPr>
        <w:t>绩效自评结果拟应用和公开情况</w:t>
      </w:r>
    </w:p>
    <w:bookmarkEnd w:id="10"/>
    <w:p>
      <w:pPr>
        <w:keepNext w:val="0"/>
        <w:keepLines w:val="0"/>
        <w:pageBreakBefore w:val="0"/>
        <w:widowControl w:val="0"/>
        <w:kinsoku/>
        <w:wordWrap/>
        <w:overflowPunct/>
        <w:topLinePunct w:val="0"/>
        <w:autoSpaceDE/>
        <w:autoSpaceDN/>
        <w:bidi w:val="0"/>
        <w:adjustRightInd/>
        <w:spacing w:line="576" w:lineRule="exact"/>
        <w:ind w:firstLine="616" w:firstLineChars="200"/>
        <w:textAlignment w:val="auto"/>
        <w:outlineLvl w:val="9"/>
        <w:rPr>
          <w:rFonts w:hint="eastAsia" w:ascii="仿宋_GB2312" w:hAnsi="仿宋_GB2312" w:cs="仿宋_GB2312"/>
          <w:sz w:val="32"/>
          <w:szCs w:val="32"/>
          <w:lang w:val="en-US" w:eastAsia="zh-CN"/>
        </w:rPr>
      </w:pPr>
      <w:r>
        <w:rPr>
          <w:rFonts w:hint="eastAsia" w:ascii="仿宋_GB2312" w:hAnsi="仿宋_GB2312" w:cs="仿宋_GB2312"/>
          <w:sz w:val="32"/>
          <w:szCs w:val="32"/>
          <w:lang w:eastAsia="zh-CN"/>
        </w:rPr>
        <w:t>下一步，市委办公室将强化绩效自评结果应用，把本次自评结果全面应用于</w:t>
      </w:r>
      <w:r>
        <w:rPr>
          <w:rFonts w:hint="eastAsia" w:ascii="仿宋_GB2312" w:hAnsi="仿宋_GB2312" w:cs="仿宋_GB2312"/>
          <w:sz w:val="32"/>
          <w:szCs w:val="32"/>
          <w:lang w:val="en-US" w:eastAsia="zh-CN"/>
        </w:rPr>
        <w:t>2026年度部门预算编制工作中，以绩效管理推动我办各项工作提质增效。同时，严格按照财政绩效公开相关要求，依法依规将部门整体支出绩效自评报告和自评表非涉密部分在林芝市人民政府门户网站予以公开，主动接受社会各界监督。</w:t>
      </w:r>
    </w:p>
    <w:p>
      <w:pPr>
        <w:keepNext w:val="0"/>
        <w:keepLines w:val="0"/>
        <w:pageBreakBefore w:val="0"/>
        <w:widowControl w:val="0"/>
        <w:kinsoku/>
        <w:wordWrap/>
        <w:overflowPunct/>
        <w:topLinePunct w:val="0"/>
        <w:autoSpaceDE/>
        <w:autoSpaceDN/>
        <w:bidi w:val="0"/>
        <w:adjustRightInd/>
        <w:spacing w:line="576" w:lineRule="exact"/>
        <w:ind w:firstLine="616" w:firstLineChars="200"/>
        <w:textAlignment w:val="auto"/>
        <w:outlineLvl w:val="9"/>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附件：2025年度部门整体支出绩效自评表</w:t>
      </w:r>
    </w:p>
    <w:p>
      <w:pPr>
        <w:keepNext w:val="0"/>
        <w:keepLines w:val="0"/>
        <w:pageBreakBefore w:val="0"/>
        <w:widowControl w:val="0"/>
        <w:kinsoku/>
        <w:wordWrap/>
        <w:overflowPunct/>
        <w:topLinePunct w:val="0"/>
        <w:autoSpaceDE/>
        <w:autoSpaceDN/>
        <w:bidi w:val="0"/>
        <w:adjustRightInd/>
        <w:spacing w:line="576" w:lineRule="exact"/>
        <w:ind w:firstLine="616" w:firstLineChars="200"/>
        <w:textAlignment w:val="auto"/>
        <w:outlineLvl w:val="9"/>
        <w:rPr>
          <w:rFonts w:hint="eastAsia" w:ascii="仿宋_GB2312" w:hAnsi="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pacing w:line="576" w:lineRule="exact"/>
        <w:ind w:firstLine="616" w:firstLineChars="200"/>
        <w:textAlignment w:val="auto"/>
        <w:outlineLvl w:val="9"/>
        <w:rPr>
          <w:rFonts w:hint="default" w:ascii="仿宋_GB2312" w:hAnsi="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pacing w:line="576" w:lineRule="exact"/>
        <w:ind w:firstLine="616" w:firstLineChars="200"/>
        <w:jc w:val="center"/>
        <w:textAlignment w:val="auto"/>
        <w:outlineLvl w:val="9"/>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 xml:space="preserve">                    中共林芝市委员会办公室</w:t>
      </w:r>
    </w:p>
    <w:p>
      <w:pPr>
        <w:keepNext w:val="0"/>
        <w:keepLines w:val="0"/>
        <w:pageBreakBefore w:val="0"/>
        <w:widowControl w:val="0"/>
        <w:kinsoku/>
        <w:wordWrap/>
        <w:overflowPunct/>
        <w:topLinePunct w:val="0"/>
        <w:autoSpaceDE/>
        <w:autoSpaceDN/>
        <w:bidi w:val="0"/>
        <w:adjustRightInd/>
        <w:spacing w:line="576" w:lineRule="exact"/>
        <w:ind w:firstLine="616" w:firstLineChars="200"/>
        <w:jc w:val="center"/>
        <w:textAlignment w:val="auto"/>
        <w:outlineLvl w:val="9"/>
        <w:rPr>
          <w:rFonts w:hint="default" w:ascii="仿宋_GB2312" w:hAnsi="仿宋_GB2312" w:cs="仿宋_GB2312"/>
          <w:sz w:val="32"/>
          <w:szCs w:val="32"/>
          <w:lang w:val="en-US" w:eastAsia="zh-CN"/>
        </w:rPr>
      </w:pPr>
      <w:r>
        <w:rPr>
          <w:rFonts w:hint="eastAsia" w:ascii="仿宋_GB2312" w:hAnsi="仿宋_GB2312" w:cs="仿宋_GB2312"/>
          <w:sz w:val="32"/>
          <w:szCs w:val="32"/>
          <w:lang w:val="en-US" w:eastAsia="zh-CN"/>
        </w:rPr>
        <w:t xml:space="preserve">                     2026年5月19日</w:t>
      </w:r>
    </w:p>
    <w:sectPr>
      <w:headerReference r:id="rId3" w:type="default"/>
      <w:footerReference r:id="rId4" w:type="default"/>
      <w:pgSz w:w="11906" w:h="16838"/>
      <w:pgMar w:top="2098" w:right="1474" w:bottom="1984" w:left="1587" w:header="851" w:footer="992" w:gutter="0"/>
      <w:cols w:space="425" w:num="1"/>
      <w:docGrid w:type="linesAndChars" w:linePitch="562" w:charSpace="-25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altName w:val="仿宋_GB2312"/>
    <w:panose1 w:val="02000000000000000000"/>
    <w:charset w:val="86"/>
    <w:family w:val="script"/>
    <w:pitch w:val="default"/>
    <w:sig w:usb0="00000000" w:usb1="00000000"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4</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ED8252"/>
    <w:multiLevelType w:val="singleLevel"/>
    <w:tmpl w:val="F7ED8252"/>
    <w:lvl w:ilvl="0" w:tentative="0">
      <w:start w:val="2"/>
      <w:numFmt w:val="chineseCounting"/>
      <w:suff w:val="nothing"/>
      <w:lvlText w:val="%1、"/>
      <w:lvlJc w:val="left"/>
      <w:rPr>
        <w:rFonts w:hint="eastAsia"/>
      </w:rPr>
    </w:lvl>
  </w:abstractNum>
  <w:abstractNum w:abstractNumId="1">
    <w:nsid w:val="F8A7D318"/>
    <w:multiLevelType w:val="singleLevel"/>
    <w:tmpl w:val="F8A7D318"/>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NotDisplayPageBoundaries w:val="1"/>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mMwOGQyZDczZjA0YWE1Nzc1YzEwZTViZGZhY2I1YjIifQ=="/>
  </w:docVars>
  <w:rsids>
    <w:rsidRoot w:val="00DA04CD"/>
    <w:rsid w:val="00000560"/>
    <w:rsid w:val="00007A67"/>
    <w:rsid w:val="00022542"/>
    <w:rsid w:val="000258AA"/>
    <w:rsid w:val="000D1E99"/>
    <w:rsid w:val="0012286D"/>
    <w:rsid w:val="00132593"/>
    <w:rsid w:val="00145B76"/>
    <w:rsid w:val="00170E39"/>
    <w:rsid w:val="001834A3"/>
    <w:rsid w:val="00195019"/>
    <w:rsid w:val="001B111B"/>
    <w:rsid w:val="001B4856"/>
    <w:rsid w:val="001D33F5"/>
    <w:rsid w:val="001E1FDF"/>
    <w:rsid w:val="001F07DA"/>
    <w:rsid w:val="001F096B"/>
    <w:rsid w:val="0023428B"/>
    <w:rsid w:val="00235EDE"/>
    <w:rsid w:val="00267E35"/>
    <w:rsid w:val="002A7F8F"/>
    <w:rsid w:val="002C4D92"/>
    <w:rsid w:val="002D7EDF"/>
    <w:rsid w:val="002E516E"/>
    <w:rsid w:val="002E5CB6"/>
    <w:rsid w:val="002F1311"/>
    <w:rsid w:val="00314DC0"/>
    <w:rsid w:val="00331AA1"/>
    <w:rsid w:val="00347820"/>
    <w:rsid w:val="00347914"/>
    <w:rsid w:val="00395359"/>
    <w:rsid w:val="003B7E05"/>
    <w:rsid w:val="003D4D40"/>
    <w:rsid w:val="004078CE"/>
    <w:rsid w:val="00410146"/>
    <w:rsid w:val="00413B2F"/>
    <w:rsid w:val="00421D22"/>
    <w:rsid w:val="0043014F"/>
    <w:rsid w:val="004531CF"/>
    <w:rsid w:val="004749F5"/>
    <w:rsid w:val="00486009"/>
    <w:rsid w:val="004B2E77"/>
    <w:rsid w:val="004D35D6"/>
    <w:rsid w:val="004D736E"/>
    <w:rsid w:val="00510F6B"/>
    <w:rsid w:val="00537F7E"/>
    <w:rsid w:val="00566EB1"/>
    <w:rsid w:val="00572A0D"/>
    <w:rsid w:val="00574D73"/>
    <w:rsid w:val="005B06B5"/>
    <w:rsid w:val="005B07DD"/>
    <w:rsid w:val="005B6EB7"/>
    <w:rsid w:val="005C28C3"/>
    <w:rsid w:val="005D4C3F"/>
    <w:rsid w:val="005E6FE2"/>
    <w:rsid w:val="00606F30"/>
    <w:rsid w:val="00620700"/>
    <w:rsid w:val="0062264E"/>
    <w:rsid w:val="006265B7"/>
    <w:rsid w:val="006317C3"/>
    <w:rsid w:val="00665117"/>
    <w:rsid w:val="00675A9A"/>
    <w:rsid w:val="006B0F8D"/>
    <w:rsid w:val="006D4795"/>
    <w:rsid w:val="00736CB1"/>
    <w:rsid w:val="0074594E"/>
    <w:rsid w:val="0075049C"/>
    <w:rsid w:val="00754811"/>
    <w:rsid w:val="007705F1"/>
    <w:rsid w:val="00781B6C"/>
    <w:rsid w:val="0078264B"/>
    <w:rsid w:val="007A1F56"/>
    <w:rsid w:val="007A7399"/>
    <w:rsid w:val="00804DCB"/>
    <w:rsid w:val="00816A2A"/>
    <w:rsid w:val="008428B2"/>
    <w:rsid w:val="0084340E"/>
    <w:rsid w:val="0086235A"/>
    <w:rsid w:val="00876A57"/>
    <w:rsid w:val="00880F2C"/>
    <w:rsid w:val="008B525A"/>
    <w:rsid w:val="008C30AE"/>
    <w:rsid w:val="008E75C3"/>
    <w:rsid w:val="0090022C"/>
    <w:rsid w:val="00982492"/>
    <w:rsid w:val="009D75F0"/>
    <w:rsid w:val="00A66BD5"/>
    <w:rsid w:val="00A813BE"/>
    <w:rsid w:val="00A8644D"/>
    <w:rsid w:val="00A91495"/>
    <w:rsid w:val="00AC5B70"/>
    <w:rsid w:val="00AF7207"/>
    <w:rsid w:val="00B05F42"/>
    <w:rsid w:val="00B12D08"/>
    <w:rsid w:val="00B32B1B"/>
    <w:rsid w:val="00B55F8F"/>
    <w:rsid w:val="00B857D8"/>
    <w:rsid w:val="00B953DC"/>
    <w:rsid w:val="00BA5204"/>
    <w:rsid w:val="00BF3EFE"/>
    <w:rsid w:val="00BF4502"/>
    <w:rsid w:val="00C005AF"/>
    <w:rsid w:val="00C10A76"/>
    <w:rsid w:val="00C112EA"/>
    <w:rsid w:val="00C13943"/>
    <w:rsid w:val="00C65605"/>
    <w:rsid w:val="00C8769E"/>
    <w:rsid w:val="00CD5F4B"/>
    <w:rsid w:val="00D24C0F"/>
    <w:rsid w:val="00D41CC7"/>
    <w:rsid w:val="00D45282"/>
    <w:rsid w:val="00D67E60"/>
    <w:rsid w:val="00D73EB4"/>
    <w:rsid w:val="00D74AD4"/>
    <w:rsid w:val="00D82FAA"/>
    <w:rsid w:val="00DA04CD"/>
    <w:rsid w:val="00DA43A7"/>
    <w:rsid w:val="00DA5CEB"/>
    <w:rsid w:val="00DC37C4"/>
    <w:rsid w:val="00DC4199"/>
    <w:rsid w:val="00DE17BB"/>
    <w:rsid w:val="00DF7A41"/>
    <w:rsid w:val="00E03302"/>
    <w:rsid w:val="00E21FA4"/>
    <w:rsid w:val="00E23CAC"/>
    <w:rsid w:val="00E3272E"/>
    <w:rsid w:val="00E71A39"/>
    <w:rsid w:val="00E82D5B"/>
    <w:rsid w:val="00EA4E69"/>
    <w:rsid w:val="00EC4520"/>
    <w:rsid w:val="00ED3E32"/>
    <w:rsid w:val="00ED5CA9"/>
    <w:rsid w:val="00EF1D42"/>
    <w:rsid w:val="00F04107"/>
    <w:rsid w:val="00F14CD1"/>
    <w:rsid w:val="00F43167"/>
    <w:rsid w:val="00F43EA4"/>
    <w:rsid w:val="00F57915"/>
    <w:rsid w:val="00FF40BF"/>
    <w:rsid w:val="031D6C06"/>
    <w:rsid w:val="0CAD24F6"/>
    <w:rsid w:val="0DABB2AF"/>
    <w:rsid w:val="0DF90D76"/>
    <w:rsid w:val="0FFF4DBB"/>
    <w:rsid w:val="10A67D57"/>
    <w:rsid w:val="1579A3C6"/>
    <w:rsid w:val="17AB00FC"/>
    <w:rsid w:val="1B604B3A"/>
    <w:rsid w:val="1BABAEC7"/>
    <w:rsid w:val="1BBD409D"/>
    <w:rsid w:val="1C9033E9"/>
    <w:rsid w:val="1D1D884A"/>
    <w:rsid w:val="1D7A41D1"/>
    <w:rsid w:val="1DDE3755"/>
    <w:rsid w:val="1DF83068"/>
    <w:rsid w:val="1DFF24D9"/>
    <w:rsid w:val="1E0F838F"/>
    <w:rsid w:val="1EDE32E5"/>
    <w:rsid w:val="1EF8B5C8"/>
    <w:rsid w:val="1F16B490"/>
    <w:rsid w:val="1F6F28F9"/>
    <w:rsid w:val="1FD57485"/>
    <w:rsid w:val="1FFF330D"/>
    <w:rsid w:val="1FFF6AA3"/>
    <w:rsid w:val="20FF5FE6"/>
    <w:rsid w:val="244F4FEC"/>
    <w:rsid w:val="24FF0F7F"/>
    <w:rsid w:val="26FF0F35"/>
    <w:rsid w:val="279F4671"/>
    <w:rsid w:val="27D60196"/>
    <w:rsid w:val="2B4B2986"/>
    <w:rsid w:val="2BBE91BF"/>
    <w:rsid w:val="2CA36A90"/>
    <w:rsid w:val="2CD7B653"/>
    <w:rsid w:val="2EDB1EE9"/>
    <w:rsid w:val="2EFBF203"/>
    <w:rsid w:val="2EFD5D4A"/>
    <w:rsid w:val="2F5EA371"/>
    <w:rsid w:val="2FECD816"/>
    <w:rsid w:val="2FED1DA9"/>
    <w:rsid w:val="2FF57911"/>
    <w:rsid w:val="2FF96C9E"/>
    <w:rsid w:val="31BD2380"/>
    <w:rsid w:val="35F7F707"/>
    <w:rsid w:val="375F83AD"/>
    <w:rsid w:val="37B95D4F"/>
    <w:rsid w:val="37FF52AF"/>
    <w:rsid w:val="3B3F1DAA"/>
    <w:rsid w:val="3B5F413F"/>
    <w:rsid w:val="3B67AF2D"/>
    <w:rsid w:val="3BABE080"/>
    <w:rsid w:val="3BBF0D4E"/>
    <w:rsid w:val="3BF71A01"/>
    <w:rsid w:val="3BFF01FA"/>
    <w:rsid w:val="3C784FF2"/>
    <w:rsid w:val="3C7D472D"/>
    <w:rsid w:val="3D75D5CE"/>
    <w:rsid w:val="3D9FA6F6"/>
    <w:rsid w:val="3DDF70FA"/>
    <w:rsid w:val="3DF7AD4D"/>
    <w:rsid w:val="3DFB2817"/>
    <w:rsid w:val="3DFB5499"/>
    <w:rsid w:val="3DFC546C"/>
    <w:rsid w:val="3E6F6FD9"/>
    <w:rsid w:val="3E7FDD57"/>
    <w:rsid w:val="3EEE0D2B"/>
    <w:rsid w:val="3EFF0AEA"/>
    <w:rsid w:val="3EFF8312"/>
    <w:rsid w:val="3F555F19"/>
    <w:rsid w:val="3F71FE33"/>
    <w:rsid w:val="3F7A0E19"/>
    <w:rsid w:val="3FB7E99D"/>
    <w:rsid w:val="3FDEDFB5"/>
    <w:rsid w:val="3FE386AC"/>
    <w:rsid w:val="3FF5ABD4"/>
    <w:rsid w:val="3FFCA0F7"/>
    <w:rsid w:val="3FFFB5B6"/>
    <w:rsid w:val="40694DC0"/>
    <w:rsid w:val="40E203D3"/>
    <w:rsid w:val="414478E0"/>
    <w:rsid w:val="4597570B"/>
    <w:rsid w:val="46B9FED1"/>
    <w:rsid w:val="47DFD21A"/>
    <w:rsid w:val="483E2094"/>
    <w:rsid w:val="4B4A046A"/>
    <w:rsid w:val="4D53AEF2"/>
    <w:rsid w:val="4DB92ECE"/>
    <w:rsid w:val="4DDE14C0"/>
    <w:rsid w:val="4DF76F3D"/>
    <w:rsid w:val="4F58348F"/>
    <w:rsid w:val="4FFB9C64"/>
    <w:rsid w:val="50795374"/>
    <w:rsid w:val="5163582E"/>
    <w:rsid w:val="52BFB233"/>
    <w:rsid w:val="53BF7971"/>
    <w:rsid w:val="53DFF547"/>
    <w:rsid w:val="54FBDAEA"/>
    <w:rsid w:val="557E8BB0"/>
    <w:rsid w:val="558EBC30"/>
    <w:rsid w:val="56DF7AD6"/>
    <w:rsid w:val="577FE8CC"/>
    <w:rsid w:val="578D647B"/>
    <w:rsid w:val="57C3F5BD"/>
    <w:rsid w:val="57DE42FE"/>
    <w:rsid w:val="57DF8C27"/>
    <w:rsid w:val="57EE301A"/>
    <w:rsid w:val="57FB3ADC"/>
    <w:rsid w:val="57FE057F"/>
    <w:rsid w:val="57FEB45B"/>
    <w:rsid w:val="58AA1B0C"/>
    <w:rsid w:val="59A42175"/>
    <w:rsid w:val="59EE8DC1"/>
    <w:rsid w:val="5ADD4057"/>
    <w:rsid w:val="5AED329E"/>
    <w:rsid w:val="5AFE5A0D"/>
    <w:rsid w:val="5B7E238F"/>
    <w:rsid w:val="5BDAC82D"/>
    <w:rsid w:val="5CBFEC1D"/>
    <w:rsid w:val="5D47AE18"/>
    <w:rsid w:val="5DB7600F"/>
    <w:rsid w:val="5DBF5780"/>
    <w:rsid w:val="5DD223D7"/>
    <w:rsid w:val="5DFA9A8A"/>
    <w:rsid w:val="5DFB6AFD"/>
    <w:rsid w:val="5E4F4315"/>
    <w:rsid w:val="5EEF4C2C"/>
    <w:rsid w:val="5EFF92ED"/>
    <w:rsid w:val="5F35CD9A"/>
    <w:rsid w:val="5F8D7315"/>
    <w:rsid w:val="5FB334C2"/>
    <w:rsid w:val="5FB963B3"/>
    <w:rsid w:val="5FD9F8A2"/>
    <w:rsid w:val="5FDE1CB4"/>
    <w:rsid w:val="5FFD8D90"/>
    <w:rsid w:val="5FFFE7D0"/>
    <w:rsid w:val="619F5BD5"/>
    <w:rsid w:val="61BE0229"/>
    <w:rsid w:val="64437109"/>
    <w:rsid w:val="64DDC559"/>
    <w:rsid w:val="657704D8"/>
    <w:rsid w:val="65BFE1F3"/>
    <w:rsid w:val="66F5032B"/>
    <w:rsid w:val="66FC2E5D"/>
    <w:rsid w:val="677F3B78"/>
    <w:rsid w:val="67FFC6E3"/>
    <w:rsid w:val="697406DC"/>
    <w:rsid w:val="6B6F9F6B"/>
    <w:rsid w:val="6BCF29E8"/>
    <w:rsid w:val="6BFF518A"/>
    <w:rsid w:val="6D7F4932"/>
    <w:rsid w:val="6DB4C5F3"/>
    <w:rsid w:val="6DDB9E11"/>
    <w:rsid w:val="6DDE46A6"/>
    <w:rsid w:val="6DDF9012"/>
    <w:rsid w:val="6DF8EDF1"/>
    <w:rsid w:val="6E0C7681"/>
    <w:rsid w:val="6E6F0682"/>
    <w:rsid w:val="6E75350A"/>
    <w:rsid w:val="6E796721"/>
    <w:rsid w:val="6E9F0E5D"/>
    <w:rsid w:val="6E9F5BAC"/>
    <w:rsid w:val="6EB7D42B"/>
    <w:rsid w:val="6EFF8F6E"/>
    <w:rsid w:val="6F6D8453"/>
    <w:rsid w:val="6F79A74A"/>
    <w:rsid w:val="6FBB2A05"/>
    <w:rsid w:val="6FF6D0F3"/>
    <w:rsid w:val="6FFF0D6C"/>
    <w:rsid w:val="700C488E"/>
    <w:rsid w:val="717107DF"/>
    <w:rsid w:val="71FFADAA"/>
    <w:rsid w:val="727D0CB1"/>
    <w:rsid w:val="72DD0478"/>
    <w:rsid w:val="72F53AC6"/>
    <w:rsid w:val="735BD92D"/>
    <w:rsid w:val="735D7F27"/>
    <w:rsid w:val="736EA13F"/>
    <w:rsid w:val="73BFFD21"/>
    <w:rsid w:val="73EB4491"/>
    <w:rsid w:val="73FF291F"/>
    <w:rsid w:val="74F92137"/>
    <w:rsid w:val="74FF8E66"/>
    <w:rsid w:val="753F7EC0"/>
    <w:rsid w:val="757FD861"/>
    <w:rsid w:val="75AF040E"/>
    <w:rsid w:val="75B0A611"/>
    <w:rsid w:val="75BB802B"/>
    <w:rsid w:val="75F604D8"/>
    <w:rsid w:val="75F62ACC"/>
    <w:rsid w:val="75F9C6D0"/>
    <w:rsid w:val="75FC8B12"/>
    <w:rsid w:val="75FDFD44"/>
    <w:rsid w:val="76BE1C0E"/>
    <w:rsid w:val="76F98310"/>
    <w:rsid w:val="76FF69E3"/>
    <w:rsid w:val="76FF8511"/>
    <w:rsid w:val="76FFAB83"/>
    <w:rsid w:val="771DD40B"/>
    <w:rsid w:val="776D1177"/>
    <w:rsid w:val="777DAD31"/>
    <w:rsid w:val="77AD56A9"/>
    <w:rsid w:val="77AF8177"/>
    <w:rsid w:val="77DE3ADE"/>
    <w:rsid w:val="77DFEEC8"/>
    <w:rsid w:val="77EB45BB"/>
    <w:rsid w:val="77F5E440"/>
    <w:rsid w:val="77F603C6"/>
    <w:rsid w:val="77FF4A7F"/>
    <w:rsid w:val="78B3FD1B"/>
    <w:rsid w:val="78B7D01E"/>
    <w:rsid w:val="78D73F7C"/>
    <w:rsid w:val="79571FD9"/>
    <w:rsid w:val="79F16144"/>
    <w:rsid w:val="79FE7918"/>
    <w:rsid w:val="79FF48C7"/>
    <w:rsid w:val="7A7F5552"/>
    <w:rsid w:val="7A8F3BC7"/>
    <w:rsid w:val="7AEF550B"/>
    <w:rsid w:val="7AFF4EA2"/>
    <w:rsid w:val="7AFF4FF4"/>
    <w:rsid w:val="7B3F34CC"/>
    <w:rsid w:val="7B6984E1"/>
    <w:rsid w:val="7B8F98AA"/>
    <w:rsid w:val="7B959AB0"/>
    <w:rsid w:val="7BB32A6A"/>
    <w:rsid w:val="7BBDF82C"/>
    <w:rsid w:val="7BC779A4"/>
    <w:rsid w:val="7BCB4332"/>
    <w:rsid w:val="7BD75411"/>
    <w:rsid w:val="7BDF7157"/>
    <w:rsid w:val="7BE7ED7F"/>
    <w:rsid w:val="7BEA3522"/>
    <w:rsid w:val="7BED5396"/>
    <w:rsid w:val="7BF7A11D"/>
    <w:rsid w:val="7BFB5EAA"/>
    <w:rsid w:val="7BFBAA72"/>
    <w:rsid w:val="7BFCE7AC"/>
    <w:rsid w:val="7BFED146"/>
    <w:rsid w:val="7BFF3C84"/>
    <w:rsid w:val="7BFFE1BD"/>
    <w:rsid w:val="7CD913E3"/>
    <w:rsid w:val="7CE742D4"/>
    <w:rsid w:val="7CEFBE27"/>
    <w:rsid w:val="7CF5D1D5"/>
    <w:rsid w:val="7CFE580D"/>
    <w:rsid w:val="7CFF07D5"/>
    <w:rsid w:val="7D1F9C16"/>
    <w:rsid w:val="7D5DB1CD"/>
    <w:rsid w:val="7D6F28DC"/>
    <w:rsid w:val="7D7A4166"/>
    <w:rsid w:val="7D7DC120"/>
    <w:rsid w:val="7D7F7B5C"/>
    <w:rsid w:val="7D7FCE7B"/>
    <w:rsid w:val="7DAF7182"/>
    <w:rsid w:val="7DB5A776"/>
    <w:rsid w:val="7DDCB3D9"/>
    <w:rsid w:val="7DF292C9"/>
    <w:rsid w:val="7DF74431"/>
    <w:rsid w:val="7DFDA9A6"/>
    <w:rsid w:val="7DFF055A"/>
    <w:rsid w:val="7DFFDDFD"/>
    <w:rsid w:val="7E2C5E3B"/>
    <w:rsid w:val="7E3D02A7"/>
    <w:rsid w:val="7E4F3154"/>
    <w:rsid w:val="7ED0A86A"/>
    <w:rsid w:val="7EF514E3"/>
    <w:rsid w:val="7EF8FCE9"/>
    <w:rsid w:val="7EF9C9BD"/>
    <w:rsid w:val="7F0552EE"/>
    <w:rsid w:val="7F1C572E"/>
    <w:rsid w:val="7F1F10DD"/>
    <w:rsid w:val="7F275D0F"/>
    <w:rsid w:val="7F372864"/>
    <w:rsid w:val="7F3BF2B1"/>
    <w:rsid w:val="7F3F56BE"/>
    <w:rsid w:val="7F4F0EA9"/>
    <w:rsid w:val="7F5D5E52"/>
    <w:rsid w:val="7F676ABC"/>
    <w:rsid w:val="7F6BC847"/>
    <w:rsid w:val="7F6D5A6E"/>
    <w:rsid w:val="7F6EA81B"/>
    <w:rsid w:val="7F7A6C77"/>
    <w:rsid w:val="7F7D58EC"/>
    <w:rsid w:val="7F7F48CF"/>
    <w:rsid w:val="7F7F8353"/>
    <w:rsid w:val="7F8D155C"/>
    <w:rsid w:val="7F8E03DA"/>
    <w:rsid w:val="7F8E3DD8"/>
    <w:rsid w:val="7FBDD586"/>
    <w:rsid w:val="7FCD5E52"/>
    <w:rsid w:val="7FCD7809"/>
    <w:rsid w:val="7FCFD756"/>
    <w:rsid w:val="7FD3F532"/>
    <w:rsid w:val="7FD78089"/>
    <w:rsid w:val="7FD7ACE3"/>
    <w:rsid w:val="7FDB36E0"/>
    <w:rsid w:val="7FDF2A5A"/>
    <w:rsid w:val="7FDF7416"/>
    <w:rsid w:val="7FE8EA6E"/>
    <w:rsid w:val="7FEA06FC"/>
    <w:rsid w:val="7FEBA6E1"/>
    <w:rsid w:val="7FEF7DBD"/>
    <w:rsid w:val="7FF182EC"/>
    <w:rsid w:val="7FF27022"/>
    <w:rsid w:val="7FF74178"/>
    <w:rsid w:val="7FF78BB5"/>
    <w:rsid w:val="7FF93142"/>
    <w:rsid w:val="7FF94CA0"/>
    <w:rsid w:val="7FFC3C8F"/>
    <w:rsid w:val="7FFDCD1F"/>
    <w:rsid w:val="7FFF5292"/>
    <w:rsid w:val="7FFF6297"/>
    <w:rsid w:val="8FEBFA7B"/>
    <w:rsid w:val="8FF527F5"/>
    <w:rsid w:val="91FE502B"/>
    <w:rsid w:val="97FF5859"/>
    <w:rsid w:val="9CCF90C3"/>
    <w:rsid w:val="9D4B5CFF"/>
    <w:rsid w:val="9F3EB2FC"/>
    <w:rsid w:val="9F3EB8C1"/>
    <w:rsid w:val="9FF77C71"/>
    <w:rsid w:val="9FFEA3B7"/>
    <w:rsid w:val="A3F30BC2"/>
    <w:rsid w:val="A5FB3CB2"/>
    <w:rsid w:val="A6FF6280"/>
    <w:rsid w:val="A7FBAC34"/>
    <w:rsid w:val="AAD5BEB0"/>
    <w:rsid w:val="ABD695D4"/>
    <w:rsid w:val="ABFD8FF1"/>
    <w:rsid w:val="ACFAE1EA"/>
    <w:rsid w:val="ADBE96D2"/>
    <w:rsid w:val="AEE2A470"/>
    <w:rsid w:val="B2FBF2A4"/>
    <w:rsid w:val="B3779F58"/>
    <w:rsid w:val="B3FF8ED8"/>
    <w:rsid w:val="B5CFC3DC"/>
    <w:rsid w:val="B5E32F44"/>
    <w:rsid w:val="B7BF0F6C"/>
    <w:rsid w:val="B7CEB126"/>
    <w:rsid w:val="B7FBC5BB"/>
    <w:rsid w:val="B9FF1BD6"/>
    <w:rsid w:val="BA7B23C6"/>
    <w:rsid w:val="BBF3F6BB"/>
    <w:rsid w:val="BBF7E90D"/>
    <w:rsid w:val="BC3D9232"/>
    <w:rsid w:val="BDF55B0A"/>
    <w:rsid w:val="BDFEF4B2"/>
    <w:rsid w:val="BDFF1BDB"/>
    <w:rsid w:val="BDFFA9CD"/>
    <w:rsid w:val="BE7D68C4"/>
    <w:rsid w:val="BEAA96CC"/>
    <w:rsid w:val="BEBEEB4C"/>
    <w:rsid w:val="BEBF8998"/>
    <w:rsid w:val="BEFF713A"/>
    <w:rsid w:val="BEFFBD22"/>
    <w:rsid w:val="BF23766D"/>
    <w:rsid w:val="BF37931C"/>
    <w:rsid w:val="BFCFF8B4"/>
    <w:rsid w:val="BFD729F6"/>
    <w:rsid w:val="BFD9A654"/>
    <w:rsid w:val="BFE98322"/>
    <w:rsid w:val="BFEEF6EA"/>
    <w:rsid w:val="BFEFBB1A"/>
    <w:rsid w:val="BFF7DBAD"/>
    <w:rsid w:val="BFFAE6C2"/>
    <w:rsid w:val="BFFBD88E"/>
    <w:rsid w:val="BFFF3AE5"/>
    <w:rsid w:val="C195D3A1"/>
    <w:rsid w:val="C6FDBEF8"/>
    <w:rsid w:val="C7FEEBC0"/>
    <w:rsid w:val="CCCB3891"/>
    <w:rsid w:val="CFBD4E68"/>
    <w:rsid w:val="CFEBB0B1"/>
    <w:rsid w:val="CFEC4799"/>
    <w:rsid w:val="D0AF776F"/>
    <w:rsid w:val="D2FD8EE6"/>
    <w:rsid w:val="D3979221"/>
    <w:rsid w:val="D4EFB167"/>
    <w:rsid w:val="D57D7461"/>
    <w:rsid w:val="D593BF80"/>
    <w:rsid w:val="D658B6DD"/>
    <w:rsid w:val="D67BBFC9"/>
    <w:rsid w:val="D7CF715C"/>
    <w:rsid w:val="D7FE38DE"/>
    <w:rsid w:val="D7FFF729"/>
    <w:rsid w:val="D9BF5241"/>
    <w:rsid w:val="D9F7E9ED"/>
    <w:rsid w:val="DACB1F22"/>
    <w:rsid w:val="DB7765AF"/>
    <w:rsid w:val="DBDBD6C8"/>
    <w:rsid w:val="DBF8D7DC"/>
    <w:rsid w:val="DBFBAF79"/>
    <w:rsid w:val="DBFBC5D3"/>
    <w:rsid w:val="DBFF4647"/>
    <w:rsid w:val="DCEFFDFE"/>
    <w:rsid w:val="DD6DECBE"/>
    <w:rsid w:val="DDEB7C3B"/>
    <w:rsid w:val="DDFAA29B"/>
    <w:rsid w:val="DE395282"/>
    <w:rsid w:val="DEDBC4DD"/>
    <w:rsid w:val="DEFB0CF2"/>
    <w:rsid w:val="DEFF4613"/>
    <w:rsid w:val="DF5B6D57"/>
    <w:rsid w:val="DF6E1955"/>
    <w:rsid w:val="DF7CCA61"/>
    <w:rsid w:val="DFBF55DE"/>
    <w:rsid w:val="DFBF6BDC"/>
    <w:rsid w:val="DFC7FF98"/>
    <w:rsid w:val="DFDFBF5B"/>
    <w:rsid w:val="DFF162CB"/>
    <w:rsid w:val="DFFB5249"/>
    <w:rsid w:val="DFFCB912"/>
    <w:rsid w:val="DFFE5702"/>
    <w:rsid w:val="DFFFFB96"/>
    <w:rsid w:val="E335431D"/>
    <w:rsid w:val="E37EC7E7"/>
    <w:rsid w:val="E57E6C0D"/>
    <w:rsid w:val="E5C788C2"/>
    <w:rsid w:val="E5FFD104"/>
    <w:rsid w:val="E7B752E0"/>
    <w:rsid w:val="E7BFA292"/>
    <w:rsid w:val="E7FE2FD7"/>
    <w:rsid w:val="E9B52D2F"/>
    <w:rsid w:val="E9EB1D33"/>
    <w:rsid w:val="E9FE8529"/>
    <w:rsid w:val="EAC746F5"/>
    <w:rsid w:val="EB73FE75"/>
    <w:rsid w:val="EBBF3532"/>
    <w:rsid w:val="EC258409"/>
    <w:rsid w:val="ECFF6658"/>
    <w:rsid w:val="ED3F111B"/>
    <w:rsid w:val="EDA9A7F0"/>
    <w:rsid w:val="EDCA7728"/>
    <w:rsid w:val="EDCB442B"/>
    <w:rsid w:val="EDCFA605"/>
    <w:rsid w:val="EDEB5237"/>
    <w:rsid w:val="EDEF83BA"/>
    <w:rsid w:val="EDFFABA2"/>
    <w:rsid w:val="EDFFACEC"/>
    <w:rsid w:val="EEB7C5AA"/>
    <w:rsid w:val="EEF6D1FC"/>
    <w:rsid w:val="EEF710C2"/>
    <w:rsid w:val="EF3EEC64"/>
    <w:rsid w:val="EF5B9E50"/>
    <w:rsid w:val="EF753FF5"/>
    <w:rsid w:val="EF8F6FB7"/>
    <w:rsid w:val="EFB9EC7C"/>
    <w:rsid w:val="EFBF2A7E"/>
    <w:rsid w:val="EFEBA994"/>
    <w:rsid w:val="EFEEF68D"/>
    <w:rsid w:val="EFEF7C8F"/>
    <w:rsid w:val="EFEFAAD4"/>
    <w:rsid w:val="EFF3BFA9"/>
    <w:rsid w:val="EFFBCA77"/>
    <w:rsid w:val="F13FC646"/>
    <w:rsid w:val="F3B5A10A"/>
    <w:rsid w:val="F51FA14D"/>
    <w:rsid w:val="F57FD5AC"/>
    <w:rsid w:val="F5BFFFE6"/>
    <w:rsid w:val="F5CB150D"/>
    <w:rsid w:val="F5E7100C"/>
    <w:rsid w:val="F5FC8501"/>
    <w:rsid w:val="F5FF9BF6"/>
    <w:rsid w:val="F6DF5912"/>
    <w:rsid w:val="F6FC9D8A"/>
    <w:rsid w:val="F73B2447"/>
    <w:rsid w:val="F7D762DC"/>
    <w:rsid w:val="F7E79712"/>
    <w:rsid w:val="F7F55C33"/>
    <w:rsid w:val="F7F7D686"/>
    <w:rsid w:val="F7FDF636"/>
    <w:rsid w:val="F7FEEE70"/>
    <w:rsid w:val="F7FF2A21"/>
    <w:rsid w:val="F7FFFCA2"/>
    <w:rsid w:val="F89F24E0"/>
    <w:rsid w:val="F95E9FB7"/>
    <w:rsid w:val="F979051D"/>
    <w:rsid w:val="F9B2572E"/>
    <w:rsid w:val="F9D7A7DB"/>
    <w:rsid w:val="F9E55E6F"/>
    <w:rsid w:val="FAA5AD35"/>
    <w:rsid w:val="FAB7FFAF"/>
    <w:rsid w:val="FADF4345"/>
    <w:rsid w:val="FAFB8EE6"/>
    <w:rsid w:val="FB79B854"/>
    <w:rsid w:val="FBB9FCDB"/>
    <w:rsid w:val="FBBB162D"/>
    <w:rsid w:val="FBBE0598"/>
    <w:rsid w:val="FBEB3742"/>
    <w:rsid w:val="FBF33AF5"/>
    <w:rsid w:val="FCDB6042"/>
    <w:rsid w:val="FCDF8F18"/>
    <w:rsid w:val="FD3E80D7"/>
    <w:rsid w:val="FDB104CF"/>
    <w:rsid w:val="FDB77D22"/>
    <w:rsid w:val="FDBECD4D"/>
    <w:rsid w:val="FDCF38CB"/>
    <w:rsid w:val="FDF9AD73"/>
    <w:rsid w:val="FDFFCF41"/>
    <w:rsid w:val="FE352FB7"/>
    <w:rsid w:val="FE734873"/>
    <w:rsid w:val="FE7B233C"/>
    <w:rsid w:val="FEA9708B"/>
    <w:rsid w:val="FEBB682C"/>
    <w:rsid w:val="FEBD1E91"/>
    <w:rsid w:val="FEDF109A"/>
    <w:rsid w:val="FEDF644B"/>
    <w:rsid w:val="FEF29792"/>
    <w:rsid w:val="FEF5925F"/>
    <w:rsid w:val="FEF74E4A"/>
    <w:rsid w:val="FEFD26E3"/>
    <w:rsid w:val="FEFF0222"/>
    <w:rsid w:val="FEFFC170"/>
    <w:rsid w:val="FEFFD2F1"/>
    <w:rsid w:val="FF1A5C99"/>
    <w:rsid w:val="FF1B0C69"/>
    <w:rsid w:val="FF1B5541"/>
    <w:rsid w:val="FF3C96D5"/>
    <w:rsid w:val="FF572288"/>
    <w:rsid w:val="FF5EA44D"/>
    <w:rsid w:val="FF6780D5"/>
    <w:rsid w:val="FF7BF3A9"/>
    <w:rsid w:val="FF7D03D5"/>
    <w:rsid w:val="FF7D0CAF"/>
    <w:rsid w:val="FF7EE57F"/>
    <w:rsid w:val="FF978ED3"/>
    <w:rsid w:val="FF9BDA1B"/>
    <w:rsid w:val="FF9EC64D"/>
    <w:rsid w:val="FFBD7CE1"/>
    <w:rsid w:val="FFBDB360"/>
    <w:rsid w:val="FFBE83E9"/>
    <w:rsid w:val="FFBF969C"/>
    <w:rsid w:val="FFD59987"/>
    <w:rsid w:val="FFD743E5"/>
    <w:rsid w:val="FFD7FD26"/>
    <w:rsid w:val="FFDB855C"/>
    <w:rsid w:val="FFDD66C4"/>
    <w:rsid w:val="FFDD98D4"/>
    <w:rsid w:val="FFDDD676"/>
    <w:rsid w:val="FFDFFC04"/>
    <w:rsid w:val="FFE0C8F5"/>
    <w:rsid w:val="FFE70EB8"/>
    <w:rsid w:val="FFEC38BB"/>
    <w:rsid w:val="FFEFDE91"/>
    <w:rsid w:val="FFFB51CC"/>
    <w:rsid w:val="FFFB8971"/>
    <w:rsid w:val="FFFF09DA"/>
    <w:rsid w:val="FFFF659D"/>
    <w:rsid w:val="FFFF91C4"/>
    <w:rsid w:val="FFFF9BB5"/>
    <w:rsid w:val="FFFFA1A6"/>
    <w:rsid w:val="FFFFC20A"/>
    <w:rsid w:val="FFFFCBC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qFormat/>
    <w:uiPriority w:val="0"/>
    <w:pPr>
      <w:keepNext/>
      <w:keepLines/>
      <w:spacing w:before="120" w:beforeLines="0" w:beforeAutospacing="0" w:after="120" w:afterLines="0" w:afterAutospacing="0" w:line="570" w:lineRule="exact"/>
      <w:jc w:val="center"/>
      <w:outlineLvl w:val="0"/>
    </w:pPr>
    <w:rPr>
      <w:rFonts w:eastAsia="方正小标宋简体"/>
      <w:kern w:val="44"/>
      <w:sz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4"/>
    <w:next w:val="1"/>
    <w:qFormat/>
    <w:uiPriority w:val="0"/>
    <w:pPr>
      <w:widowControl/>
      <w:spacing w:before="100" w:beforeAutospacing="1" w:after="100" w:afterAutospacing="1"/>
      <w:jc w:val="left"/>
    </w:pPr>
    <w:rPr>
      <w:rFonts w:ascii="宋体" w:hAnsi="宋体" w:cs="宋体"/>
      <w:kern w:val="0"/>
      <w:sz w:val="24"/>
    </w:rPr>
  </w:style>
  <w:style w:type="paragraph" w:styleId="4">
    <w:name w:val="Body Text 2"/>
    <w:basedOn w:val="1"/>
    <w:qFormat/>
    <w:uiPriority w:val="0"/>
    <w:pPr>
      <w:spacing w:after="0" w:afterLines="0" w:afterAutospacing="0" w:line="576" w:lineRule="exact"/>
    </w:pPr>
    <w:rPr>
      <w:rFonts w:ascii="Calibri" w:hAnsi="Calibri" w:eastAsia="仿宋_GB2312" w:cs="Times New Roman"/>
      <w:sz w:val="32"/>
    </w:rPr>
  </w:style>
  <w:style w:type="paragraph" w:styleId="5">
    <w:name w:val="toc 3"/>
    <w:basedOn w:val="1"/>
    <w:next w:val="1"/>
    <w:qFormat/>
    <w:uiPriority w:val="0"/>
    <w:pPr>
      <w:ind w:left="840" w:leftChars="400"/>
    </w:pPr>
  </w:style>
  <w:style w:type="paragraph" w:styleId="6">
    <w:name w:val="Balloon Text"/>
    <w:basedOn w:val="1"/>
    <w:semiHidden/>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11">
    <w:name w:val="Body Text First Indent 21"/>
    <w:basedOn w:val="12"/>
    <w:qFormat/>
    <w:uiPriority w:val="6"/>
    <w:pPr>
      <w:spacing w:line="850" w:lineRule="atLeast"/>
      <w:ind w:firstLine="198"/>
      <w:jc w:val="both"/>
      <w:textAlignment w:val="baseline"/>
    </w:pPr>
    <w:rPr>
      <w:rFonts w:ascii="Times New Roman" w:eastAsia="仿宋_GB2312"/>
      <w:color w:val="000000"/>
      <w:sz w:val="28"/>
      <w:u w:val="none" w:color="000000"/>
      <w:vertAlign w:val="baseline"/>
      <w:lang w:val="en-US" w:eastAsia="zh-CN"/>
    </w:rPr>
  </w:style>
  <w:style w:type="paragraph" w:customStyle="1" w:styleId="12">
    <w:name w:val="Body Text Indent1"/>
    <w:basedOn w:val="1"/>
    <w:qFormat/>
    <w:uiPriority w:val="6"/>
    <w:pPr>
      <w:spacing w:after="0" w:line="351" w:lineRule="atLeast"/>
      <w:ind w:left="419" w:firstLine="419"/>
      <w:jc w:val="both"/>
      <w:textAlignment w:val="baseline"/>
    </w:pPr>
    <w:rPr>
      <w:rFonts w:ascii="Times New Roman" w:eastAsia="宋体"/>
      <w:color w:val="000000"/>
      <w:sz w:val="21"/>
      <w:u w:val="none" w:color="000000"/>
      <w:vertAlign w:val="baseline"/>
      <w:lang w:val="en-US" w:eastAsia="zh-CN"/>
    </w:rPr>
  </w:style>
  <w:style w:type="paragraph" w:customStyle="1" w:styleId="13">
    <w:name w:val="_Style 5"/>
    <w:qFormat/>
    <w:uiPriority w:val="0"/>
    <w:pPr>
      <w:widowControl w:val="0"/>
      <w:ind w:firstLine="200" w:firstLineChars="200"/>
      <w:jc w:val="both"/>
    </w:pPr>
    <w:rPr>
      <w:rFonts w:ascii="Calibri" w:hAnsi="Calibri" w:eastAsia="宋体" w:cs="Times New Roman"/>
      <w:kern w:val="2"/>
      <w:sz w:val="24"/>
      <w:szCs w:val="22"/>
      <w:lang w:val="en-US" w:eastAsia="zh-CN" w:bidi="ar-SA"/>
    </w:rPr>
  </w:style>
  <w:style w:type="paragraph" w:customStyle="1" w:styleId="14">
    <w:name w:val="正文首行缩进 21"/>
    <w:basedOn w:val="1"/>
    <w:qFormat/>
    <w:uiPriority w:val="0"/>
    <w:pPr>
      <w:spacing w:line="360" w:lineRule="auto"/>
      <w:ind w:firstLine="420" w:firstLineChars="200"/>
      <w:textAlignment w:val="baseline"/>
    </w:pPr>
    <w:rPr>
      <w:rFonts w:eastAsia="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9</Pages>
  <Words>4229</Words>
  <Characters>4423</Characters>
  <Lines>21</Lines>
  <Paragraphs>10</Paragraphs>
  <TotalTime>6</TotalTime>
  <ScaleCrop>false</ScaleCrop>
  <LinksUpToDate>false</LinksUpToDate>
  <CharactersWithSpaces>4464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2020-07-16T16:14:00Z</dcterms:created>
  <dc:creator>shx</dc:creator>
  <cp:lastModifiedBy>Lenovo</cp:lastModifiedBy>
  <cp:lastPrinted>2026-10-08T09:17:59Z</cp:lastPrinted>
  <dcterms:modified xsi:type="dcterms:W3CDTF">2026-10-08T09:37:14Z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TemplateDocerSaveRecord">
    <vt:lpwstr>eyJoZGlkIjoiMzEwNTM5NzYwMDRjMzkwZTVkZjY2ODkwMGIxNGU0OTUiLCJ1c2VySWQiOiI0NDAyMDAyMjYifQ==</vt:lpwstr>
  </property>
  <property fmtid="{D5CDD505-2E9C-101B-9397-08002B2CF9AE}" pid="4" name="ICV">
    <vt:lpwstr>1FA167DE0AE644BB999E4E55B1BCBF3A_12</vt:lpwstr>
  </property>
</Properties>
</file>